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2"/>
        <w:gridCol w:w="565"/>
        <w:gridCol w:w="4537"/>
      </w:tblGrid>
      <w:tr w:rsidR="000E2D5B" w:rsidRPr="000C40A5" w14:paraId="7953FD74" w14:textId="77777777" w:rsidTr="00D25587">
        <w:trPr>
          <w:trHeight w:val="20"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1B5505B" w14:textId="7E6D67EB" w:rsidR="000E2D5B" w:rsidRPr="00972B3E" w:rsidRDefault="008033BA">
            <w:pPr>
              <w:pStyle w:val="Kop3"/>
              <w:keepNext w:val="0"/>
              <w:suppressAutoHyphens/>
              <w:spacing w:before="120"/>
              <w:ind w:left="113" w:right="113"/>
              <w:rPr>
                <w:b w:val="0"/>
                <w:bCs w:val="0"/>
                <w:sz w:val="20"/>
                <w:lang w:val="nl-BE"/>
              </w:rPr>
            </w:pPr>
            <w:r>
              <w:rPr>
                <w:b w:val="0"/>
                <w:bCs w:val="0"/>
                <w:sz w:val="20"/>
                <w:lang w:val="nl-BE"/>
              </w:rPr>
              <w:t>I</w:t>
            </w:r>
            <w:r w:rsidR="002A0B4D">
              <w:rPr>
                <w:b w:val="0"/>
                <w:bCs w:val="0"/>
                <w:sz w:val="20"/>
                <w:lang w:val="nl-BE"/>
              </w:rPr>
              <w:t>nfluenza type H3</w:t>
            </w:r>
          </w:p>
          <w:p w14:paraId="63D895D0" w14:textId="1E4F8FDA" w:rsidR="000E2D5B" w:rsidRPr="00972B3E" w:rsidRDefault="00F52252">
            <w:pPr>
              <w:pStyle w:val="Kop3"/>
              <w:keepNext w:val="0"/>
              <w:suppressAutoHyphens/>
              <w:spacing w:before="120"/>
              <w:ind w:left="113" w:right="113"/>
              <w:rPr>
                <w:bCs w:val="0"/>
                <w:caps/>
                <w:sz w:val="26"/>
                <w:lang w:val="nl-BE"/>
              </w:rPr>
            </w:pPr>
            <w:r w:rsidRPr="00972B3E">
              <w:rPr>
                <w:caps/>
                <w:noProof/>
                <w:sz w:val="26"/>
                <w:lang w:val="nl-BE"/>
              </w:rPr>
              <w:t>monsternEMING</w:t>
            </w:r>
            <w:r w:rsidR="008033BA">
              <w:rPr>
                <w:caps/>
                <w:noProof/>
                <w:sz w:val="26"/>
                <w:lang w:val="nl-BE"/>
              </w:rPr>
              <w:t>en</w:t>
            </w:r>
            <w:r w:rsidR="002A0B4D">
              <w:rPr>
                <w:caps/>
                <w:noProof/>
                <w:sz w:val="26"/>
                <w:lang w:val="nl-BE"/>
              </w:rPr>
              <w:t xml:space="preserve"> in het kader</w:t>
            </w:r>
            <w:r w:rsidR="00497F0B">
              <w:rPr>
                <w:caps/>
                <w:noProof/>
                <w:sz w:val="26"/>
                <w:lang w:val="nl-BE"/>
              </w:rPr>
              <w:t xml:space="preserve"> van</w:t>
            </w:r>
            <w:r w:rsidR="002A0B4D">
              <w:rPr>
                <w:caps/>
                <w:noProof/>
                <w:sz w:val="26"/>
                <w:lang w:val="nl-BE"/>
              </w:rPr>
              <w:t xml:space="preserve"> </w:t>
            </w:r>
            <w:r w:rsidR="008033BA">
              <w:rPr>
                <w:caps/>
                <w:noProof/>
                <w:sz w:val="26"/>
                <w:lang w:val="nl-BE"/>
              </w:rPr>
              <w:t>het verplaatsen van pluimvee en broedeieren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6F835D7" w14:textId="77777777" w:rsidR="000E2D5B" w:rsidRDefault="000E2D5B">
            <w:pPr>
              <w:suppressAutoHyphens/>
              <w:ind w:left="113" w:right="113"/>
              <w:jc w:val="center"/>
              <w:rPr>
                <w:lang w:val="nl-BE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B363472" w14:textId="2B30F51D" w:rsidR="000E2D5B" w:rsidRDefault="00B5488E">
            <w:pPr>
              <w:pStyle w:val="Kop3"/>
              <w:keepNext w:val="0"/>
              <w:suppressAutoHyphens/>
              <w:spacing w:before="120"/>
              <w:ind w:left="113" w:right="113"/>
              <w:rPr>
                <w:b w:val="0"/>
                <w:bCs w:val="0"/>
                <w:sz w:val="20"/>
                <w:lang w:val="fr-BE"/>
              </w:rPr>
            </w:pPr>
            <w:r w:rsidRPr="00B07235">
              <w:rPr>
                <w:b w:val="0"/>
                <w:bCs w:val="0"/>
                <w:sz w:val="20"/>
                <w:lang w:val="fr-BE"/>
              </w:rPr>
              <w:t>Influenza type H3</w:t>
            </w:r>
          </w:p>
          <w:p w14:paraId="6986F438" w14:textId="4C959746" w:rsidR="000E2D5B" w:rsidRPr="00B07235" w:rsidRDefault="00B5488E" w:rsidP="000C40A5">
            <w:pPr>
              <w:pStyle w:val="Kop3"/>
              <w:keepNext w:val="0"/>
              <w:suppressAutoHyphens/>
              <w:spacing w:before="120"/>
              <w:ind w:left="113" w:right="113"/>
              <w:rPr>
                <w:lang w:val="fr-BE"/>
              </w:rPr>
            </w:pPr>
            <w:r w:rsidRPr="000C40A5">
              <w:rPr>
                <w:caps/>
                <w:noProof/>
                <w:sz w:val="26"/>
                <w:lang w:val="fr-BE"/>
              </w:rPr>
              <w:t>L’échantillonnage dans le cadre de mouvements de volailles et d’œufs à couver</w:t>
            </w:r>
          </w:p>
        </w:tc>
      </w:tr>
      <w:tr w:rsidR="000E2D5B" w:rsidRPr="000C40A5" w14:paraId="7C6FEE50" w14:textId="77777777" w:rsidTr="00D25587">
        <w:trPr>
          <w:trHeight w:val="20"/>
          <w:jc w:val="center"/>
        </w:trPr>
        <w:tc>
          <w:tcPr>
            <w:tcW w:w="453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62F47AC" w14:textId="77777777" w:rsidR="000E2D5B" w:rsidRPr="00B5488E" w:rsidRDefault="000E2D5B">
            <w:pPr>
              <w:ind w:left="113" w:right="113"/>
              <w:rPr>
                <w:lang w:val="fr-BE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EDD6720" w14:textId="77777777" w:rsidR="000E2D5B" w:rsidRPr="00B5488E" w:rsidRDefault="000E2D5B">
            <w:pPr>
              <w:ind w:left="113" w:right="113"/>
              <w:rPr>
                <w:lang w:val="fr-BE"/>
              </w:rPr>
            </w:pPr>
          </w:p>
        </w:tc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ECA2812" w14:textId="77777777" w:rsidR="000E2D5B" w:rsidRPr="00B07235" w:rsidRDefault="000E2D5B">
            <w:pPr>
              <w:ind w:left="113" w:right="113"/>
              <w:rPr>
                <w:lang w:val="fr-BE"/>
              </w:rPr>
            </w:pPr>
          </w:p>
        </w:tc>
      </w:tr>
      <w:tr w:rsidR="000E2D5B" w:rsidRPr="000941AD" w14:paraId="3937823F" w14:textId="77777777" w:rsidTr="00D25587">
        <w:trPr>
          <w:trHeight w:val="20"/>
          <w:jc w:val="center"/>
        </w:trPr>
        <w:tc>
          <w:tcPr>
            <w:tcW w:w="4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16609B" w14:textId="071A4554" w:rsidR="000E2D5B" w:rsidRPr="00622D37" w:rsidRDefault="00F52252" w:rsidP="00F5225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561"/>
              </w:tabs>
              <w:ind w:left="113" w:right="113"/>
              <w:rPr>
                <w:lang w:val="nl-BE"/>
              </w:rPr>
            </w:pPr>
            <w:r w:rsidRPr="00622D37">
              <w:rPr>
                <w:lang w:val="nl-BE"/>
              </w:rPr>
              <w:t>document</w:t>
            </w:r>
            <w:r w:rsidR="000E2D5B" w:rsidRPr="00622D37">
              <w:rPr>
                <w:lang w:val="nl-BE"/>
              </w:rPr>
              <w:t xml:space="preserve"> nr.:</w:t>
            </w:r>
            <w:r w:rsidR="000E2D5B" w:rsidRPr="00622D37">
              <w:rPr>
                <w:lang w:val="nl-BE"/>
              </w:rPr>
              <w:tab/>
            </w:r>
            <w:r w:rsidR="001C4AA5">
              <w:rPr>
                <w:lang w:val="nl-BE"/>
              </w:rPr>
              <w:t>1 580 448</w:t>
            </w:r>
          </w:p>
          <w:p w14:paraId="0E8509BB" w14:textId="4DAC1C6B" w:rsidR="000E2D5B" w:rsidRPr="00622D37" w:rsidRDefault="000E2D5B" w:rsidP="00F5225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561"/>
              </w:tabs>
              <w:ind w:left="113" w:right="113"/>
              <w:rPr>
                <w:lang w:val="nl-BE"/>
              </w:rPr>
            </w:pPr>
            <w:r w:rsidRPr="00622D37">
              <w:rPr>
                <w:lang w:val="nl-BE"/>
              </w:rPr>
              <w:t xml:space="preserve">datum: </w:t>
            </w:r>
            <w:r w:rsidRPr="00622D37">
              <w:rPr>
                <w:lang w:val="nl-BE"/>
              </w:rPr>
              <w:tab/>
            </w:r>
            <w:r w:rsidR="00D25587">
              <w:rPr>
                <w:lang w:val="nl-BE"/>
              </w:rPr>
              <w:t>1</w:t>
            </w:r>
            <w:r w:rsidR="00EB5E05">
              <w:rPr>
                <w:lang w:val="nl-BE"/>
              </w:rPr>
              <w:t>2</w:t>
            </w:r>
            <w:r w:rsidR="00D25587">
              <w:rPr>
                <w:lang w:val="nl-BE"/>
              </w:rPr>
              <w:t>.06.2019</w:t>
            </w:r>
          </w:p>
          <w:p w14:paraId="20D3024F" w14:textId="77777777" w:rsidR="000E2D5B" w:rsidRPr="00622D37" w:rsidRDefault="000E2D5B" w:rsidP="00F5225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561"/>
              </w:tabs>
              <w:ind w:left="113" w:right="113"/>
              <w:rPr>
                <w:lang w:val="nl-BE"/>
              </w:rPr>
            </w:pPr>
            <w:r w:rsidRPr="00622D37">
              <w:rPr>
                <w:lang w:val="nl-BE"/>
              </w:rPr>
              <w:t xml:space="preserve">versie: </w:t>
            </w:r>
            <w:r w:rsidRPr="00622D37">
              <w:rPr>
                <w:lang w:val="nl-BE"/>
              </w:rPr>
              <w:tab/>
              <w:t xml:space="preserve">nr. </w:t>
            </w:r>
            <w:r w:rsidR="00972B3E" w:rsidRPr="00622D37">
              <w:rPr>
                <w:lang w:val="nl-BE"/>
              </w:rPr>
              <w:t>1</w:t>
            </w:r>
          </w:p>
          <w:p w14:paraId="5A0C4D17" w14:textId="660001FC" w:rsidR="000E2D5B" w:rsidRPr="00622D37" w:rsidRDefault="000E2D5B" w:rsidP="00F533A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561"/>
              </w:tabs>
              <w:spacing w:after="120"/>
              <w:ind w:left="113" w:right="113"/>
              <w:rPr>
                <w:lang w:val="nl-BE"/>
              </w:rPr>
            </w:pPr>
            <w:r w:rsidRPr="00622D37">
              <w:rPr>
                <w:lang w:val="nl-BE"/>
              </w:rPr>
              <w:t>b</w:t>
            </w:r>
            <w:r w:rsidR="00F52252" w:rsidRPr="00622D37">
              <w:rPr>
                <w:lang w:val="nl-BE"/>
              </w:rPr>
              <w:t>estand:</w:t>
            </w:r>
            <w:r w:rsidR="00F52252" w:rsidRPr="00622D37">
              <w:rPr>
                <w:lang w:val="nl-BE"/>
              </w:rPr>
              <w:tab/>
            </w:r>
            <w:r w:rsidR="002D5B3F">
              <w:rPr>
                <w:lang w:val="nl-BE"/>
              </w:rPr>
              <w:t>-</w:t>
            </w:r>
            <w:r w:rsidR="00F52252" w:rsidRPr="00622D37">
              <w:rPr>
                <w:lang w:val="nl-BE"/>
              </w:rPr>
              <w:br/>
              <w:t>bijlagen:</w:t>
            </w:r>
            <w:r w:rsidR="003076FF" w:rsidRPr="00622D37">
              <w:rPr>
                <w:lang w:val="nl-BE"/>
              </w:rPr>
              <w:tab/>
              <w:t>nihil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4F654A2" w14:textId="77777777" w:rsidR="000E2D5B" w:rsidRPr="00622D37" w:rsidRDefault="000E2D5B">
            <w:pPr>
              <w:ind w:left="113" w:right="113"/>
            </w:pPr>
            <w:r w:rsidRPr="00622D37">
              <w:tab/>
            </w:r>
          </w:p>
        </w:tc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198633" w14:textId="15E25A18" w:rsidR="000E2D5B" w:rsidRPr="00B07235" w:rsidRDefault="00F52252" w:rsidP="00F5225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567"/>
              </w:tabs>
              <w:ind w:left="113" w:right="113"/>
              <w:rPr>
                <w:lang w:val="fr-BE"/>
              </w:rPr>
            </w:pPr>
            <w:r w:rsidRPr="00B07235">
              <w:rPr>
                <w:lang w:val="fr-BE"/>
              </w:rPr>
              <w:t>document</w:t>
            </w:r>
            <w:r w:rsidR="000E2D5B" w:rsidRPr="00B07235">
              <w:rPr>
                <w:lang w:val="fr-BE"/>
              </w:rPr>
              <w:t xml:space="preserve"> n°</w:t>
            </w:r>
            <w:r w:rsidRPr="00B07235">
              <w:rPr>
                <w:lang w:val="fr-BE"/>
              </w:rPr>
              <w:t>:</w:t>
            </w:r>
            <w:r w:rsidR="000E2D5B" w:rsidRPr="00B07235">
              <w:rPr>
                <w:lang w:val="fr-BE"/>
              </w:rPr>
              <w:tab/>
            </w:r>
            <w:r w:rsidR="001C4AA5" w:rsidRPr="00EB5E05">
              <w:rPr>
                <w:lang w:val="fr-BE"/>
              </w:rPr>
              <w:t>1 580 448</w:t>
            </w:r>
          </w:p>
          <w:p w14:paraId="033E009D" w14:textId="320B2ABE" w:rsidR="000E2D5B" w:rsidRPr="00B07235" w:rsidRDefault="000E2D5B" w:rsidP="00F5225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567"/>
              </w:tabs>
              <w:ind w:left="113" w:right="113"/>
              <w:rPr>
                <w:lang w:val="fr-BE"/>
              </w:rPr>
            </w:pPr>
            <w:r w:rsidRPr="00B07235">
              <w:rPr>
                <w:lang w:val="fr-BE"/>
              </w:rPr>
              <w:t>date</w:t>
            </w:r>
            <w:r w:rsidR="00F52252" w:rsidRPr="00B07235">
              <w:rPr>
                <w:lang w:val="fr-BE"/>
              </w:rPr>
              <w:t>:</w:t>
            </w:r>
            <w:r w:rsidRPr="00B07235">
              <w:rPr>
                <w:lang w:val="fr-BE"/>
              </w:rPr>
              <w:tab/>
            </w:r>
            <w:r w:rsidR="00D25587" w:rsidRPr="00B07235">
              <w:rPr>
                <w:lang w:val="fr-BE"/>
              </w:rPr>
              <w:t>1</w:t>
            </w:r>
            <w:r w:rsidR="00EB5E05">
              <w:rPr>
                <w:lang w:val="fr-BE"/>
              </w:rPr>
              <w:t>2</w:t>
            </w:r>
            <w:r w:rsidR="00D25587" w:rsidRPr="00B07235">
              <w:rPr>
                <w:lang w:val="fr-BE"/>
              </w:rPr>
              <w:t>.06.2019</w:t>
            </w:r>
          </w:p>
          <w:p w14:paraId="7CAA2F58" w14:textId="77777777" w:rsidR="000E2D5B" w:rsidRPr="00B07235" w:rsidRDefault="000E2D5B" w:rsidP="00F5225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567"/>
              </w:tabs>
              <w:ind w:left="113" w:right="113"/>
              <w:rPr>
                <w:lang w:val="fr-BE"/>
              </w:rPr>
            </w:pPr>
            <w:r w:rsidRPr="00B07235">
              <w:rPr>
                <w:lang w:val="fr-BE"/>
              </w:rPr>
              <w:t>version</w:t>
            </w:r>
            <w:r w:rsidR="00F52252" w:rsidRPr="00B07235">
              <w:rPr>
                <w:lang w:val="fr-BE"/>
              </w:rPr>
              <w:t>:</w:t>
            </w:r>
            <w:r w:rsidRPr="00B07235">
              <w:rPr>
                <w:lang w:val="fr-BE"/>
              </w:rPr>
              <w:tab/>
              <w:t xml:space="preserve">n° </w:t>
            </w:r>
            <w:r w:rsidR="00972B3E" w:rsidRPr="00B07235">
              <w:rPr>
                <w:lang w:val="fr-BE"/>
              </w:rPr>
              <w:t>1</w:t>
            </w:r>
          </w:p>
          <w:p w14:paraId="27E73889" w14:textId="29591DE8" w:rsidR="000E2D5B" w:rsidRPr="00B07235" w:rsidRDefault="000E2D5B" w:rsidP="00F5225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567"/>
              </w:tabs>
              <w:ind w:left="113" w:right="113"/>
              <w:rPr>
                <w:lang w:val="fr-BE"/>
              </w:rPr>
            </w:pPr>
            <w:r w:rsidRPr="00B07235">
              <w:rPr>
                <w:lang w:val="fr-BE"/>
              </w:rPr>
              <w:t>fichier</w:t>
            </w:r>
            <w:r w:rsidR="00F52252" w:rsidRPr="00B07235">
              <w:rPr>
                <w:lang w:val="fr-BE"/>
              </w:rPr>
              <w:t>:</w:t>
            </w:r>
            <w:r w:rsidRPr="00B07235">
              <w:rPr>
                <w:lang w:val="fr-BE"/>
              </w:rPr>
              <w:tab/>
            </w:r>
            <w:r w:rsidR="002D5B3F">
              <w:rPr>
                <w:lang w:val="fr-BE"/>
              </w:rPr>
              <w:t>-</w:t>
            </w:r>
          </w:p>
          <w:p w14:paraId="6C70AA05" w14:textId="77777777" w:rsidR="00F52252" w:rsidRPr="00B07235" w:rsidRDefault="000E2D5B" w:rsidP="00F533A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567"/>
              </w:tabs>
              <w:ind w:left="113" w:right="113"/>
              <w:rPr>
                <w:lang w:val="fr-BE"/>
              </w:rPr>
            </w:pPr>
            <w:r w:rsidRPr="00B07235">
              <w:rPr>
                <w:lang w:val="fr-BE"/>
              </w:rPr>
              <w:t>annexes</w:t>
            </w:r>
            <w:r w:rsidR="00F52252" w:rsidRPr="00B07235">
              <w:rPr>
                <w:lang w:val="fr-BE"/>
              </w:rPr>
              <w:t>:</w:t>
            </w:r>
            <w:r w:rsidR="003076FF" w:rsidRPr="00B07235">
              <w:rPr>
                <w:lang w:val="fr-BE"/>
              </w:rPr>
              <w:tab/>
              <w:t>néant</w:t>
            </w:r>
          </w:p>
        </w:tc>
      </w:tr>
      <w:tr w:rsidR="000E2D5B" w:rsidRPr="000941AD" w14:paraId="24157718" w14:textId="77777777" w:rsidTr="00D25587">
        <w:trPr>
          <w:trHeight w:val="20"/>
          <w:jc w:val="center"/>
        </w:trPr>
        <w:tc>
          <w:tcPr>
            <w:tcW w:w="4532" w:type="dxa"/>
            <w:tcBorders>
              <w:top w:val="single" w:sz="4" w:space="0" w:color="auto"/>
            </w:tcBorders>
            <w:noWrap/>
          </w:tcPr>
          <w:p w14:paraId="218C6B41" w14:textId="77777777" w:rsidR="000E2D5B" w:rsidRPr="00622D37" w:rsidRDefault="000E2D5B">
            <w:pPr>
              <w:rPr>
                <w:lang w:val="fr-BE"/>
              </w:rPr>
            </w:pPr>
          </w:p>
          <w:p w14:paraId="22FB5137" w14:textId="77777777" w:rsidR="000E2D5B" w:rsidRPr="00622D37" w:rsidRDefault="000E2D5B">
            <w:pPr>
              <w:rPr>
                <w:lang w:val="fr-BE"/>
              </w:rPr>
            </w:pPr>
          </w:p>
        </w:tc>
        <w:tc>
          <w:tcPr>
            <w:tcW w:w="565" w:type="dxa"/>
            <w:noWrap/>
          </w:tcPr>
          <w:p w14:paraId="1E677217" w14:textId="77777777" w:rsidR="000E2D5B" w:rsidRPr="00622D37" w:rsidRDefault="000E2D5B">
            <w:pPr>
              <w:rPr>
                <w:lang w:val="fr-BE"/>
              </w:rPr>
            </w:pPr>
          </w:p>
        </w:tc>
        <w:tc>
          <w:tcPr>
            <w:tcW w:w="4537" w:type="dxa"/>
            <w:tcBorders>
              <w:top w:val="single" w:sz="4" w:space="0" w:color="auto"/>
            </w:tcBorders>
            <w:noWrap/>
          </w:tcPr>
          <w:p w14:paraId="01909E4C" w14:textId="77777777" w:rsidR="000E2D5B" w:rsidRPr="00B07235" w:rsidRDefault="000E2D5B">
            <w:pPr>
              <w:rPr>
                <w:lang w:val="fr-BE"/>
              </w:rPr>
            </w:pPr>
          </w:p>
        </w:tc>
      </w:tr>
      <w:tr w:rsidR="000E2D5B" w:rsidRPr="000C40A5" w14:paraId="709A3E26" w14:textId="77777777" w:rsidTr="00D25587">
        <w:trPr>
          <w:trHeight w:val="20"/>
          <w:jc w:val="center"/>
        </w:trPr>
        <w:tc>
          <w:tcPr>
            <w:tcW w:w="4532" w:type="dxa"/>
            <w:tcBorders>
              <w:bottom w:val="nil"/>
            </w:tcBorders>
            <w:noWrap/>
          </w:tcPr>
          <w:p w14:paraId="66869102" w14:textId="77777777" w:rsidR="000E2D5B" w:rsidRPr="00972B3E" w:rsidRDefault="000E2D5B">
            <w:pPr>
              <w:pStyle w:val="Kop2"/>
              <w:keepNext w:val="0"/>
              <w:rPr>
                <w:b/>
                <w:bCs/>
                <w:color w:val="auto"/>
                <w:lang w:val="nl-BE"/>
              </w:rPr>
            </w:pPr>
            <w:r w:rsidRPr="00972B3E">
              <w:rPr>
                <w:b/>
                <w:bCs/>
                <w:color w:val="auto"/>
                <w:u w:val="none"/>
                <w:lang w:val="nl-BE"/>
              </w:rPr>
              <w:t xml:space="preserve">1.  </w:t>
            </w:r>
            <w:r w:rsidRPr="00972B3E">
              <w:rPr>
                <w:b/>
                <w:bCs/>
                <w:color w:val="auto"/>
                <w:lang w:val="nl-BE"/>
              </w:rPr>
              <w:t>Doelstelling</w:t>
            </w:r>
          </w:p>
          <w:p w14:paraId="5375F565" w14:textId="625F6294" w:rsidR="000E2D5B" w:rsidRPr="00972B3E" w:rsidRDefault="002A0B4D" w:rsidP="0050658F">
            <w:pPr>
              <w:pStyle w:val="Plattetekst2"/>
              <w:rPr>
                <w:b/>
                <w:bCs/>
                <w:lang w:val="nl-BE"/>
              </w:rPr>
            </w:pPr>
            <w:r w:rsidRPr="002E386F">
              <w:rPr>
                <w:lang w:val="nl-BE"/>
              </w:rPr>
              <w:t>Deze instructie beschrijft de monsternemingen die</w:t>
            </w:r>
            <w:r w:rsidR="00EE34BC" w:rsidRPr="002E386F">
              <w:rPr>
                <w:lang w:val="nl-BE"/>
              </w:rPr>
              <w:t xml:space="preserve"> moeten worden uitgevoerd</w:t>
            </w:r>
            <w:r w:rsidRPr="002E386F">
              <w:rPr>
                <w:lang w:val="nl-BE"/>
              </w:rPr>
              <w:t xml:space="preserve"> in het kader van</w:t>
            </w:r>
            <w:r w:rsidR="00EE34BC" w:rsidRPr="002E386F">
              <w:rPr>
                <w:lang w:val="nl-BE"/>
              </w:rPr>
              <w:t xml:space="preserve"> de</w:t>
            </w:r>
            <w:r w:rsidRPr="002E386F">
              <w:rPr>
                <w:lang w:val="nl-BE"/>
              </w:rPr>
              <w:t xml:space="preserve"> </w:t>
            </w:r>
            <w:r w:rsidR="00EE34BC" w:rsidRPr="002E386F">
              <w:rPr>
                <w:lang w:val="nl-BE"/>
              </w:rPr>
              <w:t>maatregelen om de verspreiding van het</w:t>
            </w:r>
            <w:r w:rsidRPr="002E386F">
              <w:rPr>
                <w:lang w:val="nl-BE"/>
              </w:rPr>
              <w:t xml:space="preserve"> influenza</w:t>
            </w:r>
            <w:r w:rsidR="00EE34BC" w:rsidRPr="002E386F">
              <w:rPr>
                <w:lang w:val="nl-BE"/>
              </w:rPr>
              <w:t>virus</w:t>
            </w:r>
            <w:r w:rsidRPr="002E386F">
              <w:rPr>
                <w:lang w:val="nl-BE"/>
              </w:rPr>
              <w:t xml:space="preserve"> type H3</w:t>
            </w:r>
            <w:r w:rsidR="00EE34BC" w:rsidRPr="002E386F">
              <w:rPr>
                <w:lang w:val="nl-BE"/>
              </w:rPr>
              <w:t xml:space="preserve"> tegen te gaan</w:t>
            </w:r>
            <w:r w:rsidRPr="002E386F">
              <w:rPr>
                <w:lang w:val="nl-BE"/>
              </w:rPr>
              <w:t>. D</w:t>
            </w:r>
            <w:r w:rsidR="00EE34BC" w:rsidRPr="002E386F">
              <w:rPr>
                <w:lang w:val="nl-BE"/>
              </w:rPr>
              <w:t xml:space="preserve">e instructies zijn van toepassing </w:t>
            </w:r>
            <w:r w:rsidR="002E386F" w:rsidRPr="002E386F">
              <w:rPr>
                <w:lang w:val="nl-BE"/>
              </w:rPr>
              <w:t>voor</w:t>
            </w:r>
            <w:r w:rsidR="008033BA" w:rsidRPr="002E386F">
              <w:rPr>
                <w:lang w:val="nl-BE"/>
              </w:rPr>
              <w:t xml:space="preserve"> het verplaatsen van </w:t>
            </w:r>
            <w:r w:rsidR="00EE34BC" w:rsidRPr="002E386F">
              <w:rPr>
                <w:lang w:val="nl-BE"/>
              </w:rPr>
              <w:t>pluimvee</w:t>
            </w:r>
            <w:r w:rsidR="008033BA" w:rsidRPr="002E386F">
              <w:rPr>
                <w:lang w:val="nl-BE"/>
              </w:rPr>
              <w:t>,</w:t>
            </w:r>
            <w:r w:rsidR="00EE34BC" w:rsidRPr="002E386F">
              <w:rPr>
                <w:lang w:val="nl-BE"/>
              </w:rPr>
              <w:t xml:space="preserve"> </w:t>
            </w:r>
            <w:r w:rsidRPr="002E386F">
              <w:rPr>
                <w:lang w:val="nl-BE"/>
              </w:rPr>
              <w:t>uitgezonderd slachtdieren en eendagskuikens</w:t>
            </w:r>
            <w:r w:rsidR="008033BA" w:rsidRPr="002E386F">
              <w:rPr>
                <w:lang w:val="nl-BE"/>
              </w:rPr>
              <w:t>,</w:t>
            </w:r>
            <w:r w:rsidRPr="002E386F">
              <w:rPr>
                <w:lang w:val="nl-BE"/>
              </w:rPr>
              <w:t xml:space="preserve"> </w:t>
            </w:r>
            <w:r w:rsidR="00247515" w:rsidRPr="002E386F">
              <w:rPr>
                <w:lang w:val="nl-BE"/>
              </w:rPr>
              <w:t xml:space="preserve">en </w:t>
            </w:r>
            <w:r w:rsidR="008033BA" w:rsidRPr="002E386F">
              <w:rPr>
                <w:lang w:val="nl-BE"/>
              </w:rPr>
              <w:t xml:space="preserve">voor de afvoer van </w:t>
            </w:r>
            <w:r w:rsidR="00247515" w:rsidRPr="002E386F">
              <w:rPr>
                <w:lang w:val="nl-BE"/>
              </w:rPr>
              <w:t>broedeieren.</w:t>
            </w:r>
          </w:p>
        </w:tc>
        <w:tc>
          <w:tcPr>
            <w:tcW w:w="565" w:type="dxa"/>
            <w:tcBorders>
              <w:bottom w:val="nil"/>
            </w:tcBorders>
            <w:noWrap/>
          </w:tcPr>
          <w:p w14:paraId="6F5408FE" w14:textId="77777777" w:rsidR="000E2D5B" w:rsidRDefault="000E2D5B">
            <w:pPr>
              <w:rPr>
                <w:b/>
                <w:bCs/>
              </w:rPr>
            </w:pPr>
          </w:p>
        </w:tc>
        <w:tc>
          <w:tcPr>
            <w:tcW w:w="4537" w:type="dxa"/>
            <w:tcBorders>
              <w:bottom w:val="nil"/>
            </w:tcBorders>
            <w:noWrap/>
          </w:tcPr>
          <w:p w14:paraId="05E9E84C" w14:textId="77777777" w:rsidR="000E2D5B" w:rsidRPr="00B07235" w:rsidRDefault="000E2D5B">
            <w:pPr>
              <w:pStyle w:val="Kop9"/>
              <w:keepNext w:val="0"/>
              <w:spacing w:line="280" w:lineRule="exact"/>
              <w:rPr>
                <w:color w:val="auto"/>
                <w:lang w:val="fr-BE"/>
              </w:rPr>
            </w:pPr>
            <w:r w:rsidRPr="00B07235">
              <w:rPr>
                <w:color w:val="auto"/>
                <w:u w:val="none"/>
                <w:lang w:val="fr-BE"/>
              </w:rPr>
              <w:t xml:space="preserve">1.  </w:t>
            </w:r>
            <w:r w:rsidRPr="00B07235">
              <w:rPr>
                <w:color w:val="auto"/>
                <w:lang w:val="fr-BE"/>
              </w:rPr>
              <w:t>Objectif</w:t>
            </w:r>
          </w:p>
          <w:p w14:paraId="79814E00" w14:textId="633A7E6B" w:rsidR="00E96B39" w:rsidRPr="00B07235" w:rsidRDefault="0050658F">
            <w:pPr>
              <w:pStyle w:val="Plattetekst3"/>
              <w:spacing w:before="120" w:line="280" w:lineRule="exact"/>
              <w:rPr>
                <w:color w:val="auto"/>
                <w:lang w:val="fr-BE"/>
              </w:rPr>
            </w:pPr>
            <w:r w:rsidRPr="00B07235">
              <w:rPr>
                <w:color w:val="auto"/>
                <w:lang w:val="fr-BE"/>
              </w:rPr>
              <w:t>Cette instruction décrit l'échantillonnage à effectuer dans le cadre des mesures pour em</w:t>
            </w:r>
            <w:r w:rsidR="00B5488E" w:rsidRPr="00B07235">
              <w:rPr>
                <w:color w:val="auto"/>
                <w:lang w:val="fr-BE"/>
              </w:rPr>
              <w:t>p</w:t>
            </w:r>
            <w:r w:rsidRPr="00B07235">
              <w:rPr>
                <w:color w:val="auto"/>
                <w:lang w:val="fr-BE"/>
              </w:rPr>
              <w:t>êcher la dispersion du virus de l'influenza de type H3. Les instructions s'appliquent aux mouvements de volailles</w:t>
            </w:r>
            <w:r w:rsidR="00D25587" w:rsidRPr="00B07235">
              <w:rPr>
                <w:color w:val="auto"/>
                <w:lang w:val="fr-BE"/>
              </w:rPr>
              <w:t>,</w:t>
            </w:r>
            <w:r w:rsidRPr="00B07235">
              <w:rPr>
                <w:color w:val="auto"/>
                <w:lang w:val="fr-BE"/>
              </w:rPr>
              <w:t xml:space="preserve"> autres que celles destinées à l’abattoir et aux poussins d'un jour, ainsi qu'à l'enlèvement des œufs à couver.</w:t>
            </w:r>
          </w:p>
        </w:tc>
      </w:tr>
      <w:tr w:rsidR="000E2D5B" w:rsidRPr="000C40A5" w14:paraId="07380D1F" w14:textId="77777777" w:rsidTr="00D25587">
        <w:trPr>
          <w:trHeight w:val="227"/>
          <w:jc w:val="center"/>
        </w:trPr>
        <w:tc>
          <w:tcPr>
            <w:tcW w:w="4532" w:type="dxa"/>
            <w:noWrap/>
          </w:tcPr>
          <w:p w14:paraId="5AFF2F94" w14:textId="77777777" w:rsidR="00F52252" w:rsidRDefault="00F52252">
            <w:pPr>
              <w:rPr>
                <w:lang w:val="fr-BE"/>
              </w:rPr>
            </w:pPr>
          </w:p>
          <w:p w14:paraId="3F2D989E" w14:textId="4AC3F79D" w:rsidR="00D25587" w:rsidRPr="00622D37" w:rsidRDefault="00D25587">
            <w:pPr>
              <w:rPr>
                <w:lang w:val="fr-BE"/>
              </w:rPr>
            </w:pPr>
          </w:p>
        </w:tc>
        <w:tc>
          <w:tcPr>
            <w:tcW w:w="565" w:type="dxa"/>
            <w:noWrap/>
          </w:tcPr>
          <w:p w14:paraId="5344AD2E" w14:textId="77777777" w:rsidR="000E2D5B" w:rsidRDefault="000E2D5B">
            <w:pPr>
              <w:rPr>
                <w:lang w:val="fr-FR"/>
              </w:rPr>
            </w:pPr>
          </w:p>
        </w:tc>
        <w:tc>
          <w:tcPr>
            <w:tcW w:w="4537" w:type="dxa"/>
            <w:noWrap/>
          </w:tcPr>
          <w:p w14:paraId="0CB49801" w14:textId="77777777" w:rsidR="000E2D5B" w:rsidRPr="00B07235" w:rsidRDefault="000E2D5B">
            <w:pPr>
              <w:rPr>
                <w:b/>
                <w:bCs/>
                <w:lang w:val="fr-BE"/>
              </w:rPr>
            </w:pPr>
          </w:p>
        </w:tc>
      </w:tr>
      <w:tr w:rsidR="000E2D5B" w:rsidRPr="000C40A5" w14:paraId="3D632C83" w14:textId="77777777" w:rsidTr="00D25587">
        <w:trPr>
          <w:trHeight w:val="20"/>
          <w:jc w:val="center"/>
        </w:trPr>
        <w:tc>
          <w:tcPr>
            <w:tcW w:w="4532" w:type="dxa"/>
            <w:tcBorders>
              <w:bottom w:val="nil"/>
            </w:tcBorders>
            <w:noWrap/>
          </w:tcPr>
          <w:p w14:paraId="0C5C1EEE" w14:textId="77777777" w:rsidR="000E2D5B" w:rsidRPr="00972B3E" w:rsidRDefault="000E2D5B">
            <w:pPr>
              <w:rPr>
                <w:b/>
                <w:bCs/>
                <w:u w:val="single"/>
                <w:lang w:val="nl-BE"/>
              </w:rPr>
            </w:pPr>
            <w:r w:rsidRPr="00972B3E">
              <w:rPr>
                <w:b/>
                <w:bCs/>
                <w:lang w:val="nl-BE"/>
              </w:rPr>
              <w:t xml:space="preserve">2.  </w:t>
            </w:r>
            <w:r w:rsidR="00F52252" w:rsidRPr="00972B3E">
              <w:rPr>
                <w:b/>
                <w:bCs/>
                <w:u w:val="single"/>
                <w:lang w:val="nl-BE"/>
              </w:rPr>
              <w:t>Referentiekader</w:t>
            </w:r>
          </w:p>
          <w:p w14:paraId="451B3A92" w14:textId="77777777" w:rsidR="000E2D5B" w:rsidRPr="00F533A5" w:rsidRDefault="00EE34BC" w:rsidP="00D25587">
            <w:pPr>
              <w:pStyle w:val="inspring1"/>
              <w:numPr>
                <w:ilvl w:val="0"/>
                <w:numId w:val="0"/>
              </w:numPr>
              <w:spacing w:before="120"/>
              <w:contextualSpacing/>
              <w:rPr>
                <w:lang w:val="nl-BE"/>
              </w:rPr>
            </w:pPr>
            <w:r>
              <w:rPr>
                <w:lang w:val="nl-BE"/>
              </w:rPr>
              <w:t>Ministerieel</w:t>
            </w:r>
            <w:r w:rsidR="00247515">
              <w:rPr>
                <w:lang w:val="nl-BE"/>
              </w:rPr>
              <w:t xml:space="preserve"> besluit</w:t>
            </w:r>
            <w:r>
              <w:rPr>
                <w:lang w:val="nl-BE"/>
              </w:rPr>
              <w:t xml:space="preserve"> van 6 juni 2019</w:t>
            </w:r>
            <w:r w:rsidR="00247515">
              <w:rPr>
                <w:lang w:val="nl-BE"/>
              </w:rPr>
              <w:t xml:space="preserve"> houdende dringende maatregelen</w:t>
            </w:r>
            <w:r>
              <w:rPr>
                <w:lang w:val="nl-BE"/>
              </w:rPr>
              <w:t xml:space="preserve"> om de verspreiding van het influenzavirus type H3 tegen te gaan.</w:t>
            </w:r>
          </w:p>
        </w:tc>
        <w:tc>
          <w:tcPr>
            <w:tcW w:w="565" w:type="dxa"/>
            <w:tcBorders>
              <w:bottom w:val="nil"/>
            </w:tcBorders>
            <w:noWrap/>
          </w:tcPr>
          <w:p w14:paraId="40A2D006" w14:textId="77777777" w:rsidR="000E2D5B" w:rsidRDefault="000E2D5B">
            <w:pPr>
              <w:rPr>
                <w:b/>
                <w:bCs/>
                <w:u w:val="single"/>
              </w:rPr>
            </w:pPr>
          </w:p>
        </w:tc>
        <w:tc>
          <w:tcPr>
            <w:tcW w:w="4537" w:type="dxa"/>
            <w:tcBorders>
              <w:bottom w:val="nil"/>
            </w:tcBorders>
            <w:noWrap/>
          </w:tcPr>
          <w:p w14:paraId="41135FFB" w14:textId="77777777" w:rsidR="000E2D5B" w:rsidRPr="00B07235" w:rsidRDefault="000E2D5B">
            <w:pPr>
              <w:rPr>
                <w:b/>
                <w:bCs/>
                <w:u w:val="single"/>
                <w:lang w:val="fr-BE"/>
              </w:rPr>
            </w:pPr>
            <w:r w:rsidRPr="00B07235">
              <w:rPr>
                <w:b/>
                <w:bCs/>
                <w:lang w:val="fr-BE"/>
              </w:rPr>
              <w:t xml:space="preserve">2.  </w:t>
            </w:r>
            <w:r w:rsidR="00F52252" w:rsidRPr="00B07235">
              <w:rPr>
                <w:b/>
                <w:bCs/>
                <w:u w:val="single"/>
                <w:lang w:val="fr-BE"/>
              </w:rPr>
              <w:t>Cadre de référence</w:t>
            </w:r>
          </w:p>
          <w:p w14:paraId="1F55E5F2" w14:textId="34EB87C2" w:rsidR="00B5488E" w:rsidRPr="00B07235" w:rsidRDefault="00DE3E05" w:rsidP="00D25587">
            <w:pPr>
              <w:pStyle w:val="inspring1"/>
              <w:numPr>
                <w:ilvl w:val="0"/>
                <w:numId w:val="0"/>
              </w:numPr>
              <w:spacing w:before="120"/>
              <w:contextualSpacing/>
              <w:rPr>
                <w:lang w:val="fr-BE"/>
              </w:rPr>
            </w:pPr>
            <w:r w:rsidRPr="00B07235">
              <w:rPr>
                <w:lang w:val="fr-BE"/>
              </w:rPr>
              <w:t>Arrêté ministériel du 6 juin 2019 portant des mesures d’urgence pour empêcher la dispersion du virus de l’influenza de type H3</w:t>
            </w:r>
            <w:r w:rsidR="008B2D46" w:rsidRPr="00B07235">
              <w:rPr>
                <w:lang w:val="fr-BE"/>
              </w:rPr>
              <w:t>.</w:t>
            </w:r>
          </w:p>
        </w:tc>
      </w:tr>
      <w:tr w:rsidR="000E2D5B" w:rsidRPr="000C40A5" w14:paraId="2E96C9A2" w14:textId="77777777" w:rsidTr="00D25587">
        <w:trPr>
          <w:trHeight w:val="227"/>
          <w:jc w:val="center"/>
        </w:trPr>
        <w:tc>
          <w:tcPr>
            <w:tcW w:w="4532" w:type="dxa"/>
            <w:noWrap/>
          </w:tcPr>
          <w:p w14:paraId="162C98FF" w14:textId="77777777" w:rsidR="00F52252" w:rsidRDefault="00F52252">
            <w:pPr>
              <w:rPr>
                <w:b/>
                <w:bCs/>
                <w:lang w:val="fr-BE"/>
              </w:rPr>
            </w:pPr>
          </w:p>
          <w:p w14:paraId="20AF6EE4" w14:textId="0AD1300A" w:rsidR="00D25587" w:rsidRPr="00622D37" w:rsidRDefault="00D25587">
            <w:pPr>
              <w:rPr>
                <w:b/>
                <w:bCs/>
                <w:lang w:val="fr-BE"/>
              </w:rPr>
            </w:pPr>
          </w:p>
        </w:tc>
        <w:tc>
          <w:tcPr>
            <w:tcW w:w="565" w:type="dxa"/>
            <w:noWrap/>
          </w:tcPr>
          <w:p w14:paraId="053DD761" w14:textId="77777777" w:rsidR="000E2D5B" w:rsidRDefault="000E2D5B">
            <w:pPr>
              <w:rPr>
                <w:lang w:val="fr-FR"/>
              </w:rPr>
            </w:pPr>
          </w:p>
        </w:tc>
        <w:tc>
          <w:tcPr>
            <w:tcW w:w="4537" w:type="dxa"/>
            <w:noWrap/>
          </w:tcPr>
          <w:p w14:paraId="307C60B5" w14:textId="77777777" w:rsidR="000E2D5B" w:rsidRPr="00B07235" w:rsidRDefault="000E2D5B">
            <w:pPr>
              <w:rPr>
                <w:b/>
                <w:bCs/>
                <w:lang w:val="fr-BE"/>
              </w:rPr>
            </w:pPr>
          </w:p>
        </w:tc>
      </w:tr>
      <w:tr w:rsidR="000E2D5B" w:rsidRPr="00D7697E" w14:paraId="4B0EAA15" w14:textId="77777777" w:rsidTr="00D25587">
        <w:trPr>
          <w:trHeight w:val="20"/>
          <w:jc w:val="center"/>
        </w:trPr>
        <w:tc>
          <w:tcPr>
            <w:tcW w:w="4532" w:type="dxa"/>
            <w:tcBorders>
              <w:bottom w:val="nil"/>
            </w:tcBorders>
            <w:noWrap/>
          </w:tcPr>
          <w:p w14:paraId="69C2296F" w14:textId="77777777" w:rsidR="000E2D5B" w:rsidRPr="002E386F" w:rsidRDefault="000E2D5B">
            <w:pPr>
              <w:rPr>
                <w:b/>
                <w:bCs/>
                <w:u w:val="single"/>
                <w:lang w:val="nl-BE"/>
              </w:rPr>
            </w:pPr>
            <w:r w:rsidRPr="002E386F">
              <w:rPr>
                <w:b/>
                <w:bCs/>
                <w:lang w:val="nl-BE"/>
              </w:rPr>
              <w:t xml:space="preserve">3.  </w:t>
            </w:r>
            <w:r w:rsidRPr="002E386F">
              <w:rPr>
                <w:b/>
                <w:bCs/>
                <w:u w:val="single"/>
                <w:lang w:val="nl-BE"/>
              </w:rPr>
              <w:t>Bestemmelingen</w:t>
            </w:r>
          </w:p>
          <w:p w14:paraId="58BC8281" w14:textId="77777777" w:rsidR="000E2D5B" w:rsidRPr="002E386F" w:rsidRDefault="00F533A5" w:rsidP="0050658F">
            <w:pPr>
              <w:pStyle w:val="inspring1"/>
              <w:spacing w:before="120"/>
              <w:ind w:left="681"/>
              <w:contextualSpacing/>
              <w:rPr>
                <w:lang w:val="nl-BE"/>
              </w:rPr>
            </w:pPr>
            <w:r w:rsidRPr="002E386F">
              <w:rPr>
                <w:lang w:val="nl-BE"/>
              </w:rPr>
              <w:t>LCE</w:t>
            </w:r>
            <w:r w:rsidR="000E2D5B" w:rsidRPr="002E386F">
              <w:rPr>
                <w:lang w:val="nl-BE"/>
              </w:rPr>
              <w:t>;</w:t>
            </w:r>
          </w:p>
          <w:p w14:paraId="52E78061" w14:textId="77777777" w:rsidR="000E2D5B" w:rsidRPr="002E386F" w:rsidRDefault="000E2D5B" w:rsidP="0050658F">
            <w:pPr>
              <w:pStyle w:val="inspring1"/>
              <w:spacing w:before="120"/>
              <w:ind w:left="681"/>
              <w:contextualSpacing/>
              <w:rPr>
                <w:lang w:val="nl-BE"/>
              </w:rPr>
            </w:pPr>
            <w:r w:rsidRPr="002E386F">
              <w:rPr>
                <w:lang w:val="nl-BE"/>
              </w:rPr>
              <w:t>de dierenartsen;</w:t>
            </w:r>
          </w:p>
          <w:p w14:paraId="1634EA33" w14:textId="77777777" w:rsidR="000E2D5B" w:rsidRPr="002E386F" w:rsidRDefault="00F52252" w:rsidP="0050658F">
            <w:pPr>
              <w:pStyle w:val="inspring1"/>
              <w:spacing w:before="120"/>
              <w:ind w:left="681"/>
              <w:contextualSpacing/>
              <w:rPr>
                <w:b/>
                <w:bCs/>
                <w:u w:val="single"/>
                <w:lang w:val="nl-BE"/>
              </w:rPr>
            </w:pPr>
            <w:r w:rsidRPr="002E386F">
              <w:rPr>
                <w:lang w:val="nl-BE"/>
              </w:rPr>
              <w:t xml:space="preserve">de </w:t>
            </w:r>
            <w:r w:rsidR="00EE34BC" w:rsidRPr="002E386F">
              <w:rPr>
                <w:lang w:val="nl-BE"/>
              </w:rPr>
              <w:t>pluimveehouders</w:t>
            </w:r>
            <w:r w:rsidR="000E2D5B" w:rsidRPr="002E386F">
              <w:rPr>
                <w:lang w:val="nl-BE"/>
              </w:rPr>
              <w:t>.</w:t>
            </w:r>
          </w:p>
        </w:tc>
        <w:tc>
          <w:tcPr>
            <w:tcW w:w="565" w:type="dxa"/>
            <w:tcBorders>
              <w:bottom w:val="nil"/>
            </w:tcBorders>
            <w:noWrap/>
          </w:tcPr>
          <w:p w14:paraId="07095BA8" w14:textId="77777777" w:rsidR="000E2D5B" w:rsidRDefault="000E2D5B">
            <w:pPr>
              <w:rPr>
                <w:u w:val="single"/>
                <w:lang w:val="fr-FR"/>
              </w:rPr>
            </w:pPr>
          </w:p>
        </w:tc>
        <w:tc>
          <w:tcPr>
            <w:tcW w:w="4537" w:type="dxa"/>
            <w:tcBorders>
              <w:bottom w:val="nil"/>
            </w:tcBorders>
            <w:noWrap/>
          </w:tcPr>
          <w:p w14:paraId="0D0DE732" w14:textId="77777777" w:rsidR="000E2D5B" w:rsidRPr="00B07235" w:rsidRDefault="000E2D5B">
            <w:pPr>
              <w:rPr>
                <w:b/>
                <w:bCs/>
                <w:u w:val="single"/>
                <w:lang w:val="fr-BE"/>
              </w:rPr>
            </w:pPr>
            <w:r w:rsidRPr="00B07235">
              <w:rPr>
                <w:b/>
                <w:bCs/>
                <w:lang w:val="fr-BE"/>
              </w:rPr>
              <w:t xml:space="preserve">3.  </w:t>
            </w:r>
            <w:r w:rsidRPr="00B07235">
              <w:rPr>
                <w:b/>
                <w:bCs/>
                <w:u w:val="single"/>
                <w:lang w:val="fr-BE"/>
              </w:rPr>
              <w:t>Destinataires</w:t>
            </w:r>
          </w:p>
          <w:p w14:paraId="0DD80B29" w14:textId="597DD1BC" w:rsidR="00B5488E" w:rsidRPr="00B07235" w:rsidRDefault="00B5488E" w:rsidP="00B5488E">
            <w:pPr>
              <w:pStyle w:val="inspring1"/>
              <w:spacing w:before="120"/>
              <w:ind w:left="681"/>
              <w:contextualSpacing/>
              <w:rPr>
                <w:lang w:val="fr-BE"/>
              </w:rPr>
            </w:pPr>
            <w:r w:rsidRPr="00B07235">
              <w:rPr>
                <w:lang w:val="fr-BE"/>
              </w:rPr>
              <w:t>ULC;</w:t>
            </w:r>
          </w:p>
          <w:p w14:paraId="52068B20" w14:textId="7A3CF2C7" w:rsidR="00B5488E" w:rsidRPr="00B07235" w:rsidRDefault="00B5488E" w:rsidP="00B5488E">
            <w:pPr>
              <w:pStyle w:val="inspring1"/>
              <w:spacing w:before="120"/>
              <w:ind w:left="681"/>
              <w:contextualSpacing/>
              <w:rPr>
                <w:lang w:val="fr-BE"/>
              </w:rPr>
            </w:pPr>
            <w:r w:rsidRPr="00B07235">
              <w:rPr>
                <w:lang w:val="fr-BE"/>
              </w:rPr>
              <w:t>les vétérinaires;</w:t>
            </w:r>
          </w:p>
          <w:p w14:paraId="696B0E40" w14:textId="14CD0CB8" w:rsidR="000E2D5B" w:rsidRPr="00B07235" w:rsidRDefault="00B5488E" w:rsidP="00B5488E">
            <w:pPr>
              <w:pStyle w:val="inspring1"/>
              <w:spacing w:before="120"/>
              <w:ind w:left="681"/>
              <w:contextualSpacing/>
              <w:rPr>
                <w:color w:val="1F497D" w:themeColor="text2"/>
                <w:lang w:val="fr-BE"/>
              </w:rPr>
            </w:pPr>
            <w:r w:rsidRPr="00B07235">
              <w:rPr>
                <w:lang w:val="fr-BE"/>
              </w:rPr>
              <w:t xml:space="preserve">les </w:t>
            </w:r>
            <w:r w:rsidR="00B07235" w:rsidRPr="00B07235">
              <w:rPr>
                <w:lang w:val="fr-BE"/>
              </w:rPr>
              <w:t xml:space="preserve">détenteurs </w:t>
            </w:r>
            <w:r w:rsidRPr="00B07235">
              <w:rPr>
                <w:lang w:val="fr-BE"/>
              </w:rPr>
              <w:t>de volailles.</w:t>
            </w:r>
          </w:p>
        </w:tc>
      </w:tr>
      <w:tr w:rsidR="000E2D5B" w:rsidRPr="00D7697E" w14:paraId="4031F69B" w14:textId="77777777" w:rsidTr="00D25587">
        <w:trPr>
          <w:trHeight w:val="227"/>
          <w:jc w:val="center"/>
        </w:trPr>
        <w:tc>
          <w:tcPr>
            <w:tcW w:w="4532" w:type="dxa"/>
            <w:noWrap/>
          </w:tcPr>
          <w:p w14:paraId="4A0E729E" w14:textId="77777777" w:rsidR="00F52252" w:rsidRDefault="00F52252">
            <w:pPr>
              <w:rPr>
                <w:lang w:val="nl-BE"/>
              </w:rPr>
            </w:pPr>
          </w:p>
          <w:p w14:paraId="6594C3DF" w14:textId="47F62C4D" w:rsidR="00D25587" w:rsidRPr="002E386F" w:rsidRDefault="00D25587">
            <w:pPr>
              <w:rPr>
                <w:lang w:val="nl-BE"/>
              </w:rPr>
            </w:pPr>
          </w:p>
        </w:tc>
        <w:tc>
          <w:tcPr>
            <w:tcW w:w="565" w:type="dxa"/>
            <w:noWrap/>
          </w:tcPr>
          <w:p w14:paraId="172B25BE" w14:textId="77777777" w:rsidR="000E2D5B" w:rsidRDefault="000E2D5B">
            <w:pPr>
              <w:rPr>
                <w:lang w:val="fr-FR"/>
              </w:rPr>
            </w:pPr>
          </w:p>
        </w:tc>
        <w:tc>
          <w:tcPr>
            <w:tcW w:w="4537" w:type="dxa"/>
            <w:noWrap/>
          </w:tcPr>
          <w:p w14:paraId="6D53BACB" w14:textId="77777777" w:rsidR="000E2D5B" w:rsidRPr="00B07235" w:rsidRDefault="000E2D5B">
            <w:pPr>
              <w:rPr>
                <w:b/>
                <w:bCs/>
                <w:lang w:val="fr-BE"/>
              </w:rPr>
            </w:pPr>
          </w:p>
        </w:tc>
      </w:tr>
      <w:tr w:rsidR="000E2D5B" w:rsidRPr="000C40A5" w14:paraId="0E393B8A" w14:textId="77777777" w:rsidTr="00D25587">
        <w:trPr>
          <w:trHeight w:val="20"/>
          <w:jc w:val="center"/>
        </w:trPr>
        <w:tc>
          <w:tcPr>
            <w:tcW w:w="4532" w:type="dxa"/>
            <w:tcBorders>
              <w:bottom w:val="nil"/>
            </w:tcBorders>
            <w:noWrap/>
          </w:tcPr>
          <w:p w14:paraId="57CE71B2" w14:textId="05564A48" w:rsidR="000E2D5B" w:rsidRPr="002E386F" w:rsidRDefault="000E2D5B">
            <w:pPr>
              <w:rPr>
                <w:b/>
                <w:bCs/>
                <w:u w:val="single"/>
                <w:lang w:val="nl-BE"/>
              </w:rPr>
            </w:pPr>
            <w:r w:rsidRPr="002E386F">
              <w:rPr>
                <w:b/>
                <w:bCs/>
                <w:lang w:val="nl-BE"/>
              </w:rPr>
              <w:t xml:space="preserve">4.  </w:t>
            </w:r>
            <w:r w:rsidR="000F5A65" w:rsidRPr="002E386F">
              <w:rPr>
                <w:b/>
                <w:bCs/>
                <w:u w:val="single"/>
                <w:lang w:val="nl-BE"/>
              </w:rPr>
              <w:t>Definities</w:t>
            </w:r>
          </w:p>
          <w:p w14:paraId="1FC7BD82" w14:textId="671B1A62" w:rsidR="00D10807" w:rsidRPr="002E386F" w:rsidRDefault="00BA1FB0" w:rsidP="0050658F">
            <w:pPr>
              <w:pStyle w:val="inspring1"/>
              <w:spacing w:before="120"/>
              <w:ind w:left="681"/>
              <w:contextualSpacing/>
              <w:rPr>
                <w:bCs/>
                <w:lang w:val="nl-BE"/>
              </w:rPr>
            </w:pPr>
            <w:r w:rsidRPr="002E386F">
              <w:rPr>
                <w:bCs/>
                <w:lang w:val="nl-BE"/>
              </w:rPr>
              <w:t>a</w:t>
            </w:r>
            <w:r w:rsidR="00D10807" w:rsidRPr="002E386F">
              <w:rPr>
                <w:bCs/>
                <w:lang w:val="nl-BE"/>
              </w:rPr>
              <w:t>fgescheiden compartiment: compartiment binnen een stal dat afgescheiden is van de andere compartimenten in de stal.</w:t>
            </w:r>
          </w:p>
        </w:tc>
        <w:tc>
          <w:tcPr>
            <w:tcW w:w="565" w:type="dxa"/>
            <w:tcBorders>
              <w:bottom w:val="nil"/>
            </w:tcBorders>
            <w:noWrap/>
          </w:tcPr>
          <w:p w14:paraId="4CBDF8BF" w14:textId="77777777" w:rsidR="000E2D5B" w:rsidRDefault="000E2D5B">
            <w:pPr>
              <w:rPr>
                <w:b/>
                <w:bCs/>
                <w:u w:val="single"/>
              </w:rPr>
            </w:pPr>
          </w:p>
        </w:tc>
        <w:tc>
          <w:tcPr>
            <w:tcW w:w="4537" w:type="dxa"/>
            <w:tcBorders>
              <w:bottom w:val="nil"/>
            </w:tcBorders>
            <w:noWrap/>
          </w:tcPr>
          <w:p w14:paraId="2EFC8D08" w14:textId="797E9649" w:rsidR="000E2D5B" w:rsidRPr="00B07235" w:rsidRDefault="000E2D5B">
            <w:pPr>
              <w:rPr>
                <w:b/>
                <w:bCs/>
                <w:u w:val="single"/>
                <w:lang w:val="fr-BE"/>
              </w:rPr>
            </w:pPr>
            <w:r w:rsidRPr="00B07235">
              <w:rPr>
                <w:b/>
                <w:bCs/>
                <w:lang w:val="fr-BE"/>
              </w:rPr>
              <w:t xml:space="preserve">4.  </w:t>
            </w:r>
            <w:r w:rsidR="000F5A65" w:rsidRPr="00B07235">
              <w:rPr>
                <w:b/>
                <w:bCs/>
                <w:u w:val="single"/>
                <w:lang w:val="fr-BE"/>
              </w:rPr>
              <w:t>Définitions</w:t>
            </w:r>
          </w:p>
          <w:p w14:paraId="29BB36FC" w14:textId="6D24B974" w:rsidR="000E2D5B" w:rsidRPr="00B07235" w:rsidRDefault="00DE3E05" w:rsidP="00B5488E">
            <w:pPr>
              <w:pStyle w:val="inspring1"/>
              <w:spacing w:before="120"/>
              <w:ind w:left="681"/>
              <w:contextualSpacing/>
              <w:rPr>
                <w:color w:val="1F497D" w:themeColor="text2"/>
                <w:lang w:val="fr-BE"/>
              </w:rPr>
            </w:pPr>
            <w:r w:rsidRPr="00B07235">
              <w:rPr>
                <w:lang w:val="fr-BE"/>
              </w:rPr>
              <w:t>compartiment séparé: un compartiment d'un poulailler qui est séparé des autres compartiments du poulailler</w:t>
            </w:r>
            <w:r w:rsidR="00D25587" w:rsidRPr="00B07235">
              <w:rPr>
                <w:color w:val="1F497D" w:themeColor="text2"/>
                <w:lang w:val="fr-BE"/>
              </w:rPr>
              <w:t>.</w:t>
            </w:r>
          </w:p>
        </w:tc>
      </w:tr>
      <w:tr w:rsidR="000E2D5B" w:rsidRPr="000C40A5" w14:paraId="210B298C" w14:textId="77777777" w:rsidTr="00D25587">
        <w:trPr>
          <w:trHeight w:val="227"/>
          <w:jc w:val="center"/>
        </w:trPr>
        <w:tc>
          <w:tcPr>
            <w:tcW w:w="4532" w:type="dxa"/>
            <w:noWrap/>
          </w:tcPr>
          <w:p w14:paraId="431429BE" w14:textId="77777777" w:rsidR="00F52252" w:rsidRDefault="00F52252">
            <w:pPr>
              <w:rPr>
                <w:lang w:val="fr-BE"/>
              </w:rPr>
            </w:pPr>
          </w:p>
          <w:p w14:paraId="5C061862" w14:textId="274FFFC6" w:rsidR="00D25587" w:rsidRPr="00622D37" w:rsidRDefault="00D25587">
            <w:pPr>
              <w:rPr>
                <w:lang w:val="fr-BE"/>
              </w:rPr>
            </w:pPr>
          </w:p>
        </w:tc>
        <w:tc>
          <w:tcPr>
            <w:tcW w:w="565" w:type="dxa"/>
            <w:noWrap/>
          </w:tcPr>
          <w:p w14:paraId="70E25CF0" w14:textId="77777777" w:rsidR="000E2D5B" w:rsidRDefault="000E2D5B">
            <w:pPr>
              <w:rPr>
                <w:lang w:val="fr-FR"/>
              </w:rPr>
            </w:pPr>
          </w:p>
        </w:tc>
        <w:tc>
          <w:tcPr>
            <w:tcW w:w="4537" w:type="dxa"/>
            <w:noWrap/>
          </w:tcPr>
          <w:p w14:paraId="37144E43" w14:textId="77777777" w:rsidR="000E2D5B" w:rsidRPr="00B07235" w:rsidRDefault="000E2D5B">
            <w:pPr>
              <w:rPr>
                <w:b/>
                <w:bCs/>
                <w:lang w:val="fr-BE"/>
              </w:rPr>
            </w:pPr>
          </w:p>
        </w:tc>
      </w:tr>
      <w:tr w:rsidR="00581C78" w:rsidRPr="000C40A5" w14:paraId="6106750E" w14:textId="77777777" w:rsidTr="00D25587">
        <w:trPr>
          <w:trHeight w:val="20"/>
          <w:jc w:val="center"/>
        </w:trPr>
        <w:tc>
          <w:tcPr>
            <w:tcW w:w="4532" w:type="dxa"/>
            <w:noWrap/>
          </w:tcPr>
          <w:p w14:paraId="7460FD81" w14:textId="4C68BFB8" w:rsidR="001B3B7D" w:rsidRPr="00D25587" w:rsidRDefault="000E2D5B" w:rsidP="001B3B7D">
            <w:pPr>
              <w:rPr>
                <w:b/>
                <w:bCs/>
                <w:u w:val="single"/>
                <w:lang w:val="nl-BE"/>
              </w:rPr>
            </w:pPr>
            <w:r w:rsidRPr="00581C78">
              <w:rPr>
                <w:b/>
                <w:bCs/>
                <w:lang w:val="nl-BE"/>
              </w:rPr>
              <w:t xml:space="preserve">5.  </w:t>
            </w:r>
            <w:r w:rsidR="00F52252" w:rsidRPr="00581C78">
              <w:rPr>
                <w:b/>
                <w:bCs/>
                <w:u w:val="single"/>
                <w:lang w:val="nl-BE"/>
              </w:rPr>
              <w:t xml:space="preserve">Instructies </w:t>
            </w:r>
            <w:r w:rsidR="00B07235">
              <w:rPr>
                <w:b/>
                <w:bCs/>
                <w:u w:val="single"/>
                <w:lang w:val="nl-BE"/>
              </w:rPr>
              <w:t>voor de monsternemingen</w:t>
            </w:r>
          </w:p>
          <w:p w14:paraId="195A5B34" w14:textId="0D9BB7DF" w:rsidR="008033BA" w:rsidRPr="00581C78" w:rsidRDefault="00EE34BC" w:rsidP="00D25587">
            <w:pPr>
              <w:spacing w:before="120"/>
              <w:rPr>
                <w:b/>
                <w:bCs/>
                <w:u w:val="single"/>
                <w:lang w:val="nl-BE"/>
              </w:rPr>
            </w:pPr>
            <w:r w:rsidRPr="00581C78">
              <w:rPr>
                <w:lang w:val="nl-BE"/>
              </w:rPr>
              <w:t xml:space="preserve">Het </w:t>
            </w:r>
            <w:r w:rsidR="008033BA" w:rsidRPr="00581C78">
              <w:rPr>
                <w:lang w:val="nl-BE"/>
              </w:rPr>
              <w:t>influenza</w:t>
            </w:r>
            <w:r w:rsidR="00E10004" w:rsidRPr="00581C78">
              <w:rPr>
                <w:lang w:val="nl-BE"/>
              </w:rPr>
              <w:t xml:space="preserve">virus </w:t>
            </w:r>
            <w:r w:rsidRPr="00581C78">
              <w:rPr>
                <w:lang w:val="nl-BE"/>
              </w:rPr>
              <w:t xml:space="preserve">type H3 </w:t>
            </w:r>
            <w:r w:rsidR="008033BA" w:rsidRPr="00581C78">
              <w:rPr>
                <w:lang w:val="nl-BE"/>
              </w:rPr>
              <w:t xml:space="preserve">is </w:t>
            </w:r>
            <w:r w:rsidRPr="00581C78">
              <w:rPr>
                <w:lang w:val="nl-BE"/>
              </w:rPr>
              <w:t xml:space="preserve">vastgesteld in </w:t>
            </w:r>
            <w:r w:rsidR="008033BA" w:rsidRPr="00581C78">
              <w:rPr>
                <w:lang w:val="nl-BE"/>
              </w:rPr>
              <w:t xml:space="preserve">commerciële </w:t>
            </w:r>
            <w:r w:rsidRPr="00581C78">
              <w:rPr>
                <w:lang w:val="nl-BE"/>
              </w:rPr>
              <w:t xml:space="preserve">pluimveebedrijven en wordt in verband gebracht met </w:t>
            </w:r>
            <w:r w:rsidR="008033BA" w:rsidRPr="00581C78">
              <w:rPr>
                <w:lang w:val="nl-BE"/>
              </w:rPr>
              <w:t>klinische problemen en sterfte</w:t>
            </w:r>
            <w:r w:rsidR="00E10004" w:rsidRPr="00581C78">
              <w:rPr>
                <w:lang w:val="nl-BE"/>
              </w:rPr>
              <w:t xml:space="preserve">. </w:t>
            </w:r>
            <w:r w:rsidR="008033BA" w:rsidRPr="00581C78">
              <w:rPr>
                <w:lang w:val="nl-BE"/>
              </w:rPr>
              <w:t>Het risico bestaat dat een pluimveebedrijf besmet wordt door de aanvoer van besmette dieren.</w:t>
            </w:r>
            <w:r w:rsidR="00E10004" w:rsidRPr="00581C78">
              <w:rPr>
                <w:lang w:val="nl-BE"/>
              </w:rPr>
              <w:t xml:space="preserve"> Om </w:t>
            </w:r>
            <w:r w:rsidR="00B07235">
              <w:rPr>
                <w:lang w:val="nl-BE"/>
              </w:rPr>
              <w:lastRenderedPageBreak/>
              <w:t xml:space="preserve">dit </w:t>
            </w:r>
            <w:r w:rsidR="00E10004" w:rsidRPr="00581C78">
              <w:rPr>
                <w:lang w:val="nl-BE"/>
              </w:rPr>
              <w:t xml:space="preserve">te voorkomen, </w:t>
            </w:r>
            <w:r w:rsidR="00E47D8A" w:rsidRPr="00581C78">
              <w:rPr>
                <w:lang w:val="nl-BE"/>
              </w:rPr>
              <w:t xml:space="preserve">zijn </w:t>
            </w:r>
            <w:r w:rsidR="00DD6BFD" w:rsidRPr="00581C78">
              <w:rPr>
                <w:lang w:val="nl-BE"/>
              </w:rPr>
              <w:t xml:space="preserve">de onderstaande </w:t>
            </w:r>
            <w:r w:rsidR="00E47D8A" w:rsidRPr="00581C78">
              <w:rPr>
                <w:lang w:val="nl-BE"/>
              </w:rPr>
              <w:t>voorwaarden van kracht</w:t>
            </w:r>
            <w:r w:rsidR="008033BA" w:rsidRPr="00581C78">
              <w:rPr>
                <w:lang w:val="nl-BE"/>
              </w:rPr>
              <w:t xml:space="preserve"> voor het verplaatsen van pluimvee en broedeieren.</w:t>
            </w:r>
          </w:p>
          <w:p w14:paraId="71399066" w14:textId="6F9324B0" w:rsidR="00DD6BFD" w:rsidRPr="00581C78" w:rsidRDefault="00DD6BFD" w:rsidP="00B07235">
            <w:pPr>
              <w:spacing w:before="240"/>
              <w:rPr>
                <w:lang w:val="nl-BE"/>
              </w:rPr>
            </w:pPr>
            <w:r w:rsidRPr="00581C78">
              <w:rPr>
                <w:lang w:val="nl-BE"/>
              </w:rPr>
              <w:t>De dierenarts maakt steeds alle monsters en de nodige aanvraagdocumenten over aan DGZ of</w:t>
            </w:r>
            <w:r w:rsidR="00BA1FB0" w:rsidRPr="00581C78">
              <w:rPr>
                <w:lang w:val="nl-BE"/>
              </w:rPr>
              <w:br/>
            </w:r>
            <w:r w:rsidRPr="00581C78">
              <w:rPr>
                <w:lang w:val="nl-BE"/>
              </w:rPr>
              <w:t>A</w:t>
            </w:r>
            <w:r w:rsidR="00BA1FB0" w:rsidRPr="00581C78">
              <w:rPr>
                <w:lang w:val="nl-BE"/>
              </w:rPr>
              <w:t>R</w:t>
            </w:r>
            <w:r w:rsidRPr="00581C78">
              <w:rPr>
                <w:lang w:val="nl-BE"/>
              </w:rPr>
              <w:t>SIA.</w:t>
            </w:r>
            <w:r w:rsidR="00BA1FB0" w:rsidRPr="00581C78">
              <w:rPr>
                <w:lang w:val="nl-BE"/>
              </w:rPr>
              <w:t xml:space="preserve"> </w:t>
            </w:r>
            <w:r w:rsidR="003F0B9E">
              <w:rPr>
                <w:lang w:val="nl-BE"/>
              </w:rPr>
              <w:t xml:space="preserve">De </w:t>
            </w:r>
            <w:r w:rsidR="00BA1FB0" w:rsidRPr="00581C78">
              <w:rPr>
                <w:lang w:val="nl-BE"/>
              </w:rPr>
              <w:t>monsters moeten eenduidig geïdentificeerd worden volgens het compartiment en soort monsters (</w:t>
            </w:r>
            <w:proofErr w:type="spellStart"/>
            <w:r w:rsidR="00BA1FB0" w:rsidRPr="00581C78">
              <w:rPr>
                <w:lang w:val="nl-BE"/>
              </w:rPr>
              <w:t>cloacale</w:t>
            </w:r>
            <w:proofErr w:type="spellEnd"/>
            <w:r w:rsidR="00BA1FB0" w:rsidRPr="00581C78">
              <w:rPr>
                <w:lang w:val="nl-BE"/>
              </w:rPr>
              <w:t xml:space="preserve"> </w:t>
            </w:r>
            <w:proofErr w:type="spellStart"/>
            <w:r w:rsidR="00BA1FB0" w:rsidRPr="00581C78">
              <w:rPr>
                <w:lang w:val="nl-BE"/>
              </w:rPr>
              <w:t>swab</w:t>
            </w:r>
            <w:proofErr w:type="spellEnd"/>
            <w:r w:rsidR="00BA1FB0" w:rsidRPr="00581C78">
              <w:rPr>
                <w:lang w:val="nl-BE"/>
              </w:rPr>
              <w:t xml:space="preserve">, tracheale </w:t>
            </w:r>
            <w:proofErr w:type="spellStart"/>
            <w:r w:rsidR="00BA1FB0" w:rsidRPr="00581C78">
              <w:rPr>
                <w:lang w:val="nl-BE"/>
              </w:rPr>
              <w:t>swab</w:t>
            </w:r>
            <w:proofErr w:type="spellEnd"/>
            <w:r w:rsidR="00BA1FB0" w:rsidRPr="00581C78">
              <w:rPr>
                <w:lang w:val="nl-BE"/>
              </w:rPr>
              <w:t>, bloedmonster).</w:t>
            </w:r>
          </w:p>
          <w:p w14:paraId="3B4C5AE6" w14:textId="58BDC039" w:rsidR="008033BA" w:rsidRPr="00B07235" w:rsidRDefault="008033BA" w:rsidP="0050658F">
            <w:pPr>
              <w:spacing w:before="240"/>
              <w:rPr>
                <w:b/>
                <w:u w:val="single"/>
                <w:lang w:val="nl-BE"/>
              </w:rPr>
            </w:pPr>
            <w:r w:rsidRPr="00B07235">
              <w:rPr>
                <w:b/>
                <w:u w:val="single"/>
                <w:lang w:val="nl-BE"/>
              </w:rPr>
              <w:t>Pluimvee</w:t>
            </w:r>
          </w:p>
          <w:p w14:paraId="0C2C8C57" w14:textId="49351840" w:rsidR="00E9365C" w:rsidRPr="00581C78" w:rsidRDefault="008033BA" w:rsidP="003F0B9E">
            <w:pPr>
              <w:suppressAutoHyphens/>
              <w:spacing w:before="120"/>
              <w:rPr>
                <w:lang w:val="nl-BE"/>
              </w:rPr>
            </w:pPr>
            <w:r w:rsidRPr="00581C78">
              <w:rPr>
                <w:lang w:val="nl-BE"/>
              </w:rPr>
              <w:t>Om p</w:t>
            </w:r>
            <w:r w:rsidR="00270119" w:rsidRPr="00581C78">
              <w:rPr>
                <w:lang w:val="nl-BE"/>
              </w:rPr>
              <w:t>luimvee,</w:t>
            </w:r>
            <w:r w:rsidR="00E10004" w:rsidRPr="00581C78">
              <w:rPr>
                <w:lang w:val="nl-BE"/>
              </w:rPr>
              <w:t xml:space="preserve"> uitgezonderd eendagskuikens</w:t>
            </w:r>
            <w:r w:rsidRPr="00581C78">
              <w:rPr>
                <w:lang w:val="nl-BE"/>
              </w:rPr>
              <w:t xml:space="preserve"> en slachtpluimvee</w:t>
            </w:r>
            <w:r w:rsidR="00E10004" w:rsidRPr="00581C78">
              <w:rPr>
                <w:lang w:val="nl-BE"/>
              </w:rPr>
              <w:t xml:space="preserve">, </w:t>
            </w:r>
            <w:r w:rsidRPr="00581C78">
              <w:rPr>
                <w:lang w:val="nl-BE"/>
              </w:rPr>
              <w:t xml:space="preserve">te vervoeren </w:t>
            </w:r>
            <w:r w:rsidR="00E10004" w:rsidRPr="00581C78">
              <w:rPr>
                <w:lang w:val="nl-BE"/>
              </w:rPr>
              <w:t xml:space="preserve">naar een </w:t>
            </w:r>
            <w:r w:rsidRPr="00581C78">
              <w:rPr>
                <w:lang w:val="nl-BE"/>
              </w:rPr>
              <w:t>bedrijf</w:t>
            </w:r>
            <w:r w:rsidR="00E10004" w:rsidRPr="00581C78">
              <w:rPr>
                <w:lang w:val="nl-BE"/>
              </w:rPr>
              <w:t>, moet</w:t>
            </w:r>
            <w:r w:rsidR="00270119" w:rsidRPr="00581C78">
              <w:rPr>
                <w:lang w:val="nl-BE"/>
              </w:rPr>
              <w:t xml:space="preserve"> </w:t>
            </w:r>
            <w:r w:rsidRPr="00581C78">
              <w:rPr>
                <w:lang w:val="nl-BE"/>
              </w:rPr>
              <w:t xml:space="preserve">er </w:t>
            </w:r>
            <w:r w:rsidR="006C58E3" w:rsidRPr="00581C78">
              <w:rPr>
                <w:lang w:val="nl-BE"/>
              </w:rPr>
              <w:t>binnen de 7 dagen voor vertrek</w:t>
            </w:r>
            <w:r w:rsidR="00270119" w:rsidRPr="00581C78">
              <w:rPr>
                <w:lang w:val="nl-BE"/>
              </w:rPr>
              <w:t xml:space="preserve"> in elke afgescheiden </w:t>
            </w:r>
            <w:r w:rsidR="00D10807" w:rsidRPr="00581C78">
              <w:rPr>
                <w:lang w:val="nl-BE"/>
              </w:rPr>
              <w:t>compartiment</w:t>
            </w:r>
            <w:r w:rsidR="006C58E3" w:rsidRPr="00581C78">
              <w:rPr>
                <w:lang w:val="nl-BE"/>
              </w:rPr>
              <w:t xml:space="preserve"> </w:t>
            </w:r>
            <w:r w:rsidR="00DD6BFD" w:rsidRPr="00581C78">
              <w:rPr>
                <w:lang w:val="nl-BE"/>
              </w:rPr>
              <w:t xml:space="preserve">van het bedrijf van oorsprong </w:t>
            </w:r>
            <w:r w:rsidR="006C58E3" w:rsidRPr="00581C78">
              <w:rPr>
                <w:lang w:val="nl-BE"/>
              </w:rPr>
              <w:t>een</w:t>
            </w:r>
            <w:r w:rsidR="00E10004" w:rsidRPr="00581C78">
              <w:rPr>
                <w:lang w:val="nl-BE"/>
              </w:rPr>
              <w:t xml:space="preserve"> </w:t>
            </w:r>
            <w:r w:rsidR="006C58E3" w:rsidRPr="00581C78">
              <w:rPr>
                <w:lang w:val="nl-BE"/>
              </w:rPr>
              <w:t>monstername uitgevoerd worden.</w:t>
            </w:r>
            <w:r w:rsidR="00BA1FB0" w:rsidRPr="00581C78">
              <w:rPr>
                <w:lang w:val="nl-BE"/>
              </w:rPr>
              <w:t xml:space="preserve"> Het lot kan het beslag pas verlaten nadat een virologisch onderzoek aantoont dat </w:t>
            </w:r>
            <w:r w:rsidR="003F0B9E">
              <w:rPr>
                <w:lang w:val="nl-BE"/>
              </w:rPr>
              <w:t xml:space="preserve">het </w:t>
            </w:r>
            <w:r w:rsidR="00BA1FB0" w:rsidRPr="00581C78">
              <w:rPr>
                <w:lang w:val="nl-BE"/>
              </w:rPr>
              <w:t xml:space="preserve">H3-virus </w:t>
            </w:r>
            <w:r w:rsidR="003F0B9E">
              <w:rPr>
                <w:lang w:val="nl-BE"/>
              </w:rPr>
              <w:t xml:space="preserve">niet </w:t>
            </w:r>
            <w:r w:rsidR="00BA1FB0" w:rsidRPr="00581C78">
              <w:rPr>
                <w:lang w:val="nl-BE"/>
              </w:rPr>
              <w:t>aanwezig is. Het moet bovendien op het bedrijf van bestemming opnieuw serologisch getest worden.</w:t>
            </w:r>
          </w:p>
          <w:p w14:paraId="76AEC6F6" w14:textId="6C4FD528" w:rsidR="00DD6BFD" w:rsidRPr="00581C78" w:rsidRDefault="00BA1FB0">
            <w:pPr>
              <w:spacing w:before="120"/>
              <w:rPr>
                <w:lang w:val="nl-BE"/>
              </w:rPr>
            </w:pPr>
            <w:r w:rsidRPr="003F0B9E">
              <w:rPr>
                <w:lang w:val="nl-BE"/>
              </w:rPr>
              <w:t xml:space="preserve">Op het </w:t>
            </w:r>
            <w:r w:rsidRPr="003F0B9E">
              <w:rPr>
                <w:u w:val="dotted"/>
                <w:lang w:val="nl-BE"/>
              </w:rPr>
              <w:t>bedrijf van oorsprong</w:t>
            </w:r>
            <w:r w:rsidRPr="00581C78">
              <w:rPr>
                <w:lang w:val="nl-BE"/>
              </w:rPr>
              <w:t xml:space="preserve"> worden p</w:t>
            </w:r>
            <w:r w:rsidR="00270119" w:rsidRPr="00581C78">
              <w:rPr>
                <w:lang w:val="nl-BE"/>
              </w:rPr>
              <w:t xml:space="preserve">er afgescheiden </w:t>
            </w:r>
            <w:r w:rsidR="00D10807" w:rsidRPr="00581C78">
              <w:rPr>
                <w:lang w:val="nl-BE"/>
              </w:rPr>
              <w:t>compartiment</w:t>
            </w:r>
            <w:r w:rsidR="00270119" w:rsidRPr="00581C78">
              <w:rPr>
                <w:lang w:val="nl-BE"/>
              </w:rPr>
              <w:t xml:space="preserve"> </w:t>
            </w:r>
            <w:r w:rsidR="006C58E3" w:rsidRPr="00581C78">
              <w:rPr>
                <w:lang w:val="nl-BE"/>
              </w:rPr>
              <w:t xml:space="preserve">bij 9 dieren zowel een </w:t>
            </w:r>
            <w:proofErr w:type="spellStart"/>
            <w:r w:rsidR="006C58E3" w:rsidRPr="00581C78">
              <w:rPr>
                <w:lang w:val="nl-BE"/>
              </w:rPr>
              <w:t>cloacale</w:t>
            </w:r>
            <w:proofErr w:type="spellEnd"/>
            <w:r w:rsidR="006C58E3" w:rsidRPr="00581C78">
              <w:rPr>
                <w:lang w:val="nl-BE"/>
              </w:rPr>
              <w:t xml:space="preserve"> als een tracheale </w:t>
            </w:r>
            <w:proofErr w:type="spellStart"/>
            <w:r w:rsidR="006C58E3" w:rsidRPr="00581C78">
              <w:rPr>
                <w:lang w:val="nl-BE"/>
              </w:rPr>
              <w:t>swab</w:t>
            </w:r>
            <w:proofErr w:type="spellEnd"/>
            <w:r w:rsidR="006C58E3" w:rsidRPr="00581C78">
              <w:rPr>
                <w:lang w:val="nl-BE"/>
              </w:rPr>
              <w:t xml:space="preserve"> genomen</w:t>
            </w:r>
            <w:r w:rsidR="00DD6BFD" w:rsidRPr="00581C78">
              <w:rPr>
                <w:lang w:val="nl-BE"/>
              </w:rPr>
              <w:t xml:space="preserve">, alsook </w:t>
            </w:r>
            <w:r w:rsidR="006C58E3" w:rsidRPr="00581C78">
              <w:rPr>
                <w:lang w:val="nl-BE"/>
              </w:rPr>
              <w:t>een</w:t>
            </w:r>
            <w:r w:rsidR="00E10004" w:rsidRPr="00581C78">
              <w:rPr>
                <w:lang w:val="nl-BE"/>
              </w:rPr>
              <w:t xml:space="preserve"> </w:t>
            </w:r>
            <w:r w:rsidR="00DD6BFD" w:rsidRPr="00581C78">
              <w:rPr>
                <w:lang w:val="nl-BE"/>
              </w:rPr>
              <w:t>bloedmonster</w:t>
            </w:r>
            <w:r w:rsidR="00E10004" w:rsidRPr="00581C78">
              <w:rPr>
                <w:lang w:val="nl-BE"/>
              </w:rPr>
              <w:t>.</w:t>
            </w:r>
            <w:r w:rsidR="00E47D8A" w:rsidRPr="00581C78">
              <w:rPr>
                <w:lang w:val="nl-BE"/>
              </w:rPr>
              <w:t xml:space="preserve"> </w:t>
            </w:r>
          </w:p>
          <w:p w14:paraId="50770F26" w14:textId="2C0CD75F" w:rsidR="00DD6BFD" w:rsidRPr="00581C78" w:rsidRDefault="00736923" w:rsidP="00DD6BFD">
            <w:pPr>
              <w:spacing w:before="120"/>
              <w:rPr>
                <w:lang w:val="nl-BE"/>
              </w:rPr>
            </w:pPr>
            <w:r w:rsidRPr="00581C78">
              <w:rPr>
                <w:lang w:val="nl-BE"/>
              </w:rPr>
              <w:t xml:space="preserve">Op het </w:t>
            </w:r>
            <w:r w:rsidRPr="003F0B9E">
              <w:rPr>
                <w:u w:val="dotted"/>
                <w:lang w:val="nl-BE"/>
              </w:rPr>
              <w:t>bedrijf van bestemming</w:t>
            </w:r>
            <w:r w:rsidRPr="00581C78">
              <w:rPr>
                <w:lang w:val="nl-BE"/>
              </w:rPr>
              <w:t xml:space="preserve"> worden in de loop van de 4</w:t>
            </w:r>
            <w:r w:rsidRPr="00581C78">
              <w:rPr>
                <w:vertAlign w:val="superscript"/>
                <w:lang w:val="nl-BE"/>
              </w:rPr>
              <w:t>e</w:t>
            </w:r>
            <w:r w:rsidRPr="00581C78">
              <w:rPr>
                <w:lang w:val="nl-BE"/>
              </w:rPr>
              <w:t xml:space="preserve"> week na aankomst </w:t>
            </w:r>
            <w:r w:rsidR="00497F0B" w:rsidRPr="00581C78">
              <w:rPr>
                <w:lang w:val="nl-BE"/>
              </w:rPr>
              <w:t>10</w:t>
            </w:r>
            <w:r w:rsidRPr="00581C78">
              <w:rPr>
                <w:lang w:val="nl-BE"/>
              </w:rPr>
              <w:t xml:space="preserve"> serumstalen genomen</w:t>
            </w:r>
            <w:r w:rsidR="00BA1FB0" w:rsidRPr="00581C78">
              <w:rPr>
                <w:lang w:val="nl-BE"/>
              </w:rPr>
              <w:t xml:space="preserve">, enkel bij </w:t>
            </w:r>
            <w:r w:rsidRPr="00581C78">
              <w:rPr>
                <w:lang w:val="nl-BE"/>
              </w:rPr>
              <w:t xml:space="preserve">het </w:t>
            </w:r>
            <w:r w:rsidR="00DD6BFD" w:rsidRPr="00581C78">
              <w:rPr>
                <w:lang w:val="nl-BE"/>
              </w:rPr>
              <w:t xml:space="preserve">aangevoerde </w:t>
            </w:r>
            <w:r w:rsidRPr="00581C78">
              <w:rPr>
                <w:lang w:val="nl-BE"/>
              </w:rPr>
              <w:t>lot.</w:t>
            </w:r>
            <w:r w:rsidR="00DD6BFD" w:rsidRPr="00581C78">
              <w:rPr>
                <w:lang w:val="nl-BE"/>
              </w:rPr>
              <w:t xml:space="preserve"> </w:t>
            </w:r>
            <w:r w:rsidR="004B1496">
              <w:rPr>
                <w:lang w:val="nl-BE"/>
              </w:rPr>
              <w:t>Op het analyse</w:t>
            </w:r>
            <w:r w:rsidR="0076326D">
              <w:rPr>
                <w:lang w:val="nl-BE"/>
              </w:rPr>
              <w:t>aanvraag</w:t>
            </w:r>
            <w:r w:rsidR="004B1496">
              <w:rPr>
                <w:lang w:val="nl-BE"/>
              </w:rPr>
              <w:t>formulier moet duidelijk het beslagnummer van het beslag van oorsprong van het betreffende lot worden vermeld.</w:t>
            </w:r>
          </w:p>
          <w:p w14:paraId="028D02B2" w14:textId="6FE1EE04" w:rsidR="00DD6BFD" w:rsidRPr="003F0B9E" w:rsidRDefault="00DD6BFD" w:rsidP="00DD6BFD">
            <w:pPr>
              <w:spacing w:before="240"/>
              <w:rPr>
                <w:b/>
                <w:u w:val="single"/>
                <w:lang w:val="nl-BE"/>
              </w:rPr>
            </w:pPr>
            <w:r w:rsidRPr="003F0B9E">
              <w:rPr>
                <w:b/>
                <w:u w:val="single"/>
                <w:lang w:val="nl-BE"/>
              </w:rPr>
              <w:t>Broedeieren</w:t>
            </w:r>
          </w:p>
          <w:p w14:paraId="481514B9" w14:textId="603BC37B" w:rsidR="00E47D8A" w:rsidRPr="00581C78" w:rsidRDefault="00DD6BFD" w:rsidP="0050658F">
            <w:pPr>
              <w:spacing w:before="120"/>
              <w:rPr>
                <w:lang w:val="nl-BE"/>
              </w:rPr>
            </w:pPr>
            <w:r w:rsidRPr="00581C78">
              <w:rPr>
                <w:lang w:val="nl-BE"/>
              </w:rPr>
              <w:t xml:space="preserve">De afvoer </w:t>
            </w:r>
            <w:r w:rsidR="00E47D8A" w:rsidRPr="00581C78">
              <w:rPr>
                <w:lang w:val="nl-BE"/>
              </w:rPr>
              <w:t xml:space="preserve">van broedeieren van een </w:t>
            </w:r>
            <w:r w:rsidRPr="00581C78">
              <w:rPr>
                <w:lang w:val="nl-BE"/>
              </w:rPr>
              <w:t>vermeerder</w:t>
            </w:r>
            <w:r w:rsidR="00E47D8A" w:rsidRPr="00581C78">
              <w:rPr>
                <w:lang w:val="nl-BE"/>
              </w:rPr>
              <w:t xml:space="preserve">bedrijf naar een andere bestemming dan een </w:t>
            </w:r>
            <w:proofErr w:type="spellStart"/>
            <w:r w:rsidR="00E47D8A" w:rsidRPr="00581C78">
              <w:rPr>
                <w:lang w:val="nl-BE"/>
              </w:rPr>
              <w:t>brekerij</w:t>
            </w:r>
            <w:proofErr w:type="spellEnd"/>
            <w:r w:rsidR="00E47D8A" w:rsidRPr="00581C78">
              <w:rPr>
                <w:lang w:val="nl-BE"/>
              </w:rPr>
              <w:t xml:space="preserve"> is enkel toegelaten indien de moederdieren </w:t>
            </w:r>
            <w:r w:rsidR="00D10807" w:rsidRPr="00581C78">
              <w:rPr>
                <w:lang w:val="nl-BE"/>
              </w:rPr>
              <w:t>op regelmatige basis</w:t>
            </w:r>
            <w:r w:rsidR="00E47D8A" w:rsidRPr="00581C78">
              <w:rPr>
                <w:lang w:val="nl-BE"/>
              </w:rPr>
              <w:t xml:space="preserve"> worden bemonsterd en de analyseresultaten </w:t>
            </w:r>
            <w:r w:rsidR="003F0B9E">
              <w:rPr>
                <w:lang w:val="nl-BE"/>
              </w:rPr>
              <w:t xml:space="preserve">aantonen dat </w:t>
            </w:r>
            <w:r w:rsidRPr="00581C78">
              <w:rPr>
                <w:lang w:val="nl-BE"/>
              </w:rPr>
              <w:t xml:space="preserve">het H3-virus </w:t>
            </w:r>
            <w:r w:rsidR="003F0B9E">
              <w:rPr>
                <w:lang w:val="nl-BE"/>
              </w:rPr>
              <w:t>niet aanwezig is</w:t>
            </w:r>
            <w:r w:rsidR="00E47D8A" w:rsidRPr="00581C78">
              <w:rPr>
                <w:lang w:val="nl-BE"/>
              </w:rPr>
              <w:t>.</w:t>
            </w:r>
          </w:p>
          <w:p w14:paraId="16961930" w14:textId="102E06A2" w:rsidR="00000E52" w:rsidRPr="00581C78" w:rsidRDefault="00E47D8A" w:rsidP="00DD6BFD">
            <w:pPr>
              <w:spacing w:before="120"/>
              <w:rPr>
                <w:lang w:val="nl-BE"/>
              </w:rPr>
            </w:pPr>
            <w:r w:rsidRPr="00581C78">
              <w:rPr>
                <w:lang w:val="nl-BE"/>
              </w:rPr>
              <w:t>De monstername bestaat uit</w:t>
            </w:r>
            <w:r w:rsidR="00D10807" w:rsidRPr="00581C78">
              <w:rPr>
                <w:lang w:val="nl-BE"/>
              </w:rPr>
              <w:t xml:space="preserve"> een driewekelijkse afname van</w:t>
            </w:r>
            <w:r w:rsidRPr="00581C78">
              <w:rPr>
                <w:lang w:val="nl-BE"/>
              </w:rPr>
              <w:t xml:space="preserve"> </w:t>
            </w:r>
            <w:r w:rsidR="00497F0B" w:rsidRPr="00581C78">
              <w:rPr>
                <w:lang w:val="nl-BE"/>
              </w:rPr>
              <w:t>10</w:t>
            </w:r>
            <w:r w:rsidRPr="00581C78">
              <w:rPr>
                <w:lang w:val="nl-BE"/>
              </w:rPr>
              <w:t xml:space="preserve"> </w:t>
            </w:r>
            <w:r w:rsidR="00DD6BFD" w:rsidRPr="00581C78">
              <w:rPr>
                <w:lang w:val="nl-BE"/>
              </w:rPr>
              <w:t xml:space="preserve">bloedmonsters </w:t>
            </w:r>
            <w:r w:rsidR="00D10807" w:rsidRPr="00581C78">
              <w:rPr>
                <w:lang w:val="nl-BE"/>
              </w:rPr>
              <w:t>per afges</w:t>
            </w:r>
            <w:r w:rsidR="00497F0B" w:rsidRPr="00581C78">
              <w:rPr>
                <w:lang w:val="nl-BE"/>
              </w:rPr>
              <w:t>cheiden</w:t>
            </w:r>
            <w:r w:rsidR="00D10807" w:rsidRPr="00581C78">
              <w:rPr>
                <w:lang w:val="nl-BE"/>
              </w:rPr>
              <w:t xml:space="preserve"> compartiment.</w:t>
            </w:r>
          </w:p>
          <w:p w14:paraId="1426DFA5" w14:textId="4F84434D" w:rsidR="00DD6BFD" w:rsidRPr="00581C78" w:rsidRDefault="00DD6BFD" w:rsidP="0050658F">
            <w:pPr>
              <w:spacing w:before="120"/>
              <w:rPr>
                <w:lang w:val="nl-BE"/>
              </w:rPr>
            </w:pPr>
            <w:r w:rsidRPr="00581C78">
              <w:rPr>
                <w:lang w:val="nl-BE"/>
              </w:rPr>
              <w:t>Van zodra de aanwezigheid van het H3-virus is aangetoond</w:t>
            </w:r>
            <w:r w:rsidR="00944058">
              <w:rPr>
                <w:lang w:val="nl-BE"/>
              </w:rPr>
              <w:t xml:space="preserve"> op het bedrijf</w:t>
            </w:r>
            <w:r w:rsidRPr="00581C78">
              <w:rPr>
                <w:lang w:val="nl-BE"/>
              </w:rPr>
              <w:t xml:space="preserve">, mogen geen broedeieren van het bedrijf meer in de broeierij ingelegd worden en moeten alle sinds de vorige conforme </w:t>
            </w:r>
            <w:r w:rsidRPr="00581C78">
              <w:rPr>
                <w:lang w:val="nl-BE"/>
              </w:rPr>
              <w:lastRenderedPageBreak/>
              <w:t>analyse</w:t>
            </w:r>
            <w:r w:rsidR="00944058">
              <w:rPr>
                <w:lang w:val="nl-BE"/>
              </w:rPr>
              <w:t>s</w:t>
            </w:r>
            <w:r w:rsidRPr="00581C78">
              <w:rPr>
                <w:lang w:val="nl-BE"/>
              </w:rPr>
              <w:t xml:space="preserve"> ingelegde eieren uit de broe</w:t>
            </w:r>
            <w:r w:rsidR="003156A8" w:rsidRPr="00581C78">
              <w:rPr>
                <w:lang w:val="nl-BE"/>
              </w:rPr>
              <w:t>d</w:t>
            </w:r>
            <w:r w:rsidRPr="00581C78">
              <w:rPr>
                <w:lang w:val="nl-BE"/>
              </w:rPr>
              <w:t xml:space="preserve">kasten verwijderd worden. </w:t>
            </w:r>
          </w:p>
        </w:tc>
        <w:tc>
          <w:tcPr>
            <w:tcW w:w="565" w:type="dxa"/>
            <w:noWrap/>
          </w:tcPr>
          <w:p w14:paraId="325E7E6E" w14:textId="77777777" w:rsidR="000E2D5B" w:rsidRPr="00581C78" w:rsidRDefault="000E2D5B" w:rsidP="0050658F">
            <w:pPr>
              <w:rPr>
                <w:u w:val="single"/>
              </w:rPr>
            </w:pPr>
          </w:p>
        </w:tc>
        <w:tc>
          <w:tcPr>
            <w:tcW w:w="4537" w:type="dxa"/>
            <w:noWrap/>
          </w:tcPr>
          <w:p w14:paraId="2FF3F718" w14:textId="31AA9793" w:rsidR="001B3B7D" w:rsidRPr="00B07235" w:rsidRDefault="000E2D5B" w:rsidP="00DE3E05">
            <w:pPr>
              <w:rPr>
                <w:lang w:val="fr-BE"/>
              </w:rPr>
            </w:pPr>
            <w:r w:rsidRPr="00B07235">
              <w:rPr>
                <w:b/>
                <w:bCs/>
                <w:lang w:val="fr-BE"/>
              </w:rPr>
              <w:t xml:space="preserve">5.  </w:t>
            </w:r>
            <w:r w:rsidR="00E22FF7" w:rsidRPr="00B07235">
              <w:rPr>
                <w:b/>
                <w:bCs/>
                <w:u w:val="single"/>
                <w:lang w:val="fr-BE"/>
              </w:rPr>
              <w:t xml:space="preserve">Instructions </w:t>
            </w:r>
            <w:r w:rsidR="00B07235">
              <w:rPr>
                <w:b/>
                <w:bCs/>
                <w:u w:val="single"/>
                <w:lang w:val="fr-BE"/>
              </w:rPr>
              <w:t>concernant les prélèvements</w:t>
            </w:r>
          </w:p>
          <w:p w14:paraId="57AB0376" w14:textId="21252CB7" w:rsidR="001B3B7D" w:rsidRPr="00B07235" w:rsidRDefault="00DE3E05" w:rsidP="00B07235">
            <w:pPr>
              <w:suppressAutoHyphens/>
              <w:spacing w:before="120"/>
              <w:rPr>
                <w:lang w:val="fr-BE"/>
              </w:rPr>
            </w:pPr>
            <w:r w:rsidRPr="00B07235">
              <w:rPr>
                <w:lang w:val="fr-BE"/>
              </w:rPr>
              <w:t xml:space="preserve">Le virus de l'influenza de type H3 a été identifié dans des exploitations professionnelles de volailles et est associé à des problèmes cliniques et à </w:t>
            </w:r>
            <w:r w:rsidR="00B07235">
              <w:rPr>
                <w:lang w:val="fr-BE"/>
              </w:rPr>
              <w:t xml:space="preserve">de </w:t>
            </w:r>
            <w:r w:rsidRPr="00B07235">
              <w:rPr>
                <w:lang w:val="fr-BE"/>
              </w:rPr>
              <w:t>la mortalité. Il existe un risque qu'une exploitation a</w:t>
            </w:r>
            <w:r w:rsidR="00B07235">
              <w:rPr>
                <w:lang w:val="fr-BE"/>
              </w:rPr>
              <w:t>vi</w:t>
            </w:r>
            <w:r w:rsidRPr="00B07235">
              <w:rPr>
                <w:lang w:val="fr-BE"/>
              </w:rPr>
              <w:t xml:space="preserve">cole soit infectée par l’introduction d'animaux </w:t>
            </w:r>
            <w:r w:rsidRPr="00B07235">
              <w:rPr>
                <w:lang w:val="fr-BE"/>
              </w:rPr>
              <w:lastRenderedPageBreak/>
              <w:t xml:space="preserve">infectés. Afin de prévenir </w:t>
            </w:r>
            <w:r w:rsidR="00B07235">
              <w:rPr>
                <w:lang w:val="fr-BE"/>
              </w:rPr>
              <w:t xml:space="preserve">telle </w:t>
            </w:r>
            <w:r w:rsidRPr="00B07235">
              <w:rPr>
                <w:lang w:val="fr-BE"/>
              </w:rPr>
              <w:t>introduction, les conditions suivantes s'appliquent aux mouvements de volailles et d'œufs à couver.</w:t>
            </w:r>
          </w:p>
          <w:p w14:paraId="078F1940" w14:textId="1D3B2104" w:rsidR="00DE3E05" w:rsidRPr="00B07235" w:rsidRDefault="001B3B7D" w:rsidP="00B07235">
            <w:pPr>
              <w:spacing w:before="240"/>
              <w:rPr>
                <w:lang w:val="fr-BE"/>
              </w:rPr>
            </w:pPr>
            <w:r w:rsidRPr="00B07235">
              <w:rPr>
                <w:lang w:val="fr-BE"/>
              </w:rPr>
              <w:t>Le vétérinaire transmet tous les échantillons et les demande</w:t>
            </w:r>
            <w:r w:rsidR="00B07235">
              <w:rPr>
                <w:lang w:val="fr-BE"/>
              </w:rPr>
              <w:t>s d’analyse</w:t>
            </w:r>
            <w:r w:rsidRPr="00B07235">
              <w:rPr>
                <w:lang w:val="fr-BE"/>
              </w:rPr>
              <w:t xml:space="preserve"> nécessaires à ARSIA ou à DGZ. </w:t>
            </w:r>
            <w:r w:rsidR="003F0B9E">
              <w:rPr>
                <w:lang w:val="fr-BE"/>
              </w:rPr>
              <w:t>L</w:t>
            </w:r>
            <w:r w:rsidR="00DE3E05" w:rsidRPr="00B07235">
              <w:rPr>
                <w:lang w:val="fr-BE"/>
              </w:rPr>
              <w:t>es échantillons doivent être identifiés de manière unique</w:t>
            </w:r>
            <w:r w:rsidR="003F0B9E">
              <w:rPr>
                <w:lang w:val="fr-BE"/>
              </w:rPr>
              <w:t>,</w:t>
            </w:r>
            <w:r w:rsidR="00DE3E05" w:rsidRPr="00B07235">
              <w:rPr>
                <w:lang w:val="fr-BE"/>
              </w:rPr>
              <w:t xml:space="preserve"> en </w:t>
            </w:r>
            <w:r w:rsidR="003F0B9E">
              <w:rPr>
                <w:lang w:val="fr-BE"/>
              </w:rPr>
              <w:t xml:space="preserve">référant au </w:t>
            </w:r>
            <w:r w:rsidR="00DE3E05" w:rsidRPr="00B07235">
              <w:rPr>
                <w:lang w:val="fr-BE"/>
              </w:rPr>
              <w:t xml:space="preserve">compartiment et </w:t>
            </w:r>
            <w:r w:rsidR="003F0B9E">
              <w:rPr>
                <w:lang w:val="fr-BE"/>
              </w:rPr>
              <w:t xml:space="preserve">au </w:t>
            </w:r>
            <w:r w:rsidR="00DE3E05" w:rsidRPr="00B07235">
              <w:rPr>
                <w:lang w:val="fr-BE"/>
              </w:rPr>
              <w:t>type d'échantillon (écouvillon cloacal, écouvillon trachéal, échantillon de sang).</w:t>
            </w:r>
          </w:p>
          <w:p w14:paraId="17C863A0" w14:textId="75E4819D" w:rsidR="00DE3E05" w:rsidRPr="00B07235" w:rsidRDefault="00DE3E05" w:rsidP="00DE3E05">
            <w:pPr>
              <w:spacing w:before="240"/>
              <w:rPr>
                <w:b/>
                <w:u w:val="single"/>
                <w:lang w:val="fr-BE"/>
              </w:rPr>
            </w:pPr>
            <w:r w:rsidRPr="00B07235">
              <w:rPr>
                <w:b/>
                <w:u w:val="single"/>
                <w:lang w:val="fr-BE"/>
              </w:rPr>
              <w:t>Volaille</w:t>
            </w:r>
            <w:r w:rsidR="00B07235" w:rsidRPr="00B07235">
              <w:rPr>
                <w:b/>
                <w:u w:val="single"/>
                <w:lang w:val="fr-BE"/>
              </w:rPr>
              <w:t>s</w:t>
            </w:r>
          </w:p>
          <w:p w14:paraId="7DA2AD84" w14:textId="6E8185CE" w:rsidR="00DE3E05" w:rsidRPr="00B07235" w:rsidRDefault="00DE3E05" w:rsidP="003F0B9E">
            <w:pPr>
              <w:spacing w:before="120"/>
              <w:rPr>
                <w:lang w:val="fr-BE"/>
              </w:rPr>
            </w:pPr>
            <w:r w:rsidRPr="00B07235">
              <w:rPr>
                <w:lang w:val="fr-BE"/>
              </w:rPr>
              <w:t xml:space="preserve">Pour le </w:t>
            </w:r>
            <w:r w:rsidR="003F0B9E">
              <w:rPr>
                <w:lang w:val="fr-BE"/>
              </w:rPr>
              <w:t xml:space="preserve">déplacement </w:t>
            </w:r>
            <w:r w:rsidRPr="00B07235">
              <w:rPr>
                <w:lang w:val="fr-BE"/>
              </w:rPr>
              <w:t>de volailles</w:t>
            </w:r>
            <w:r w:rsidR="003F0B9E">
              <w:rPr>
                <w:lang w:val="fr-BE"/>
              </w:rPr>
              <w:t>,</w:t>
            </w:r>
            <w:r w:rsidRPr="00B07235">
              <w:rPr>
                <w:lang w:val="fr-BE"/>
              </w:rPr>
              <w:t xml:space="preserve"> autres que les poussins d'un jour et les volailles d'abattage</w:t>
            </w:r>
            <w:r w:rsidR="003F0B9E">
              <w:rPr>
                <w:lang w:val="fr-BE"/>
              </w:rPr>
              <w:t>, à destination d’</w:t>
            </w:r>
            <w:r w:rsidRPr="00B07235">
              <w:rPr>
                <w:lang w:val="fr-BE"/>
              </w:rPr>
              <w:t xml:space="preserve">une autre exploitation, </w:t>
            </w:r>
            <w:r w:rsidR="003F0B9E" w:rsidRPr="00B07235">
              <w:rPr>
                <w:lang w:val="fr-BE"/>
              </w:rPr>
              <w:t>dans les sept jours précédant le départ</w:t>
            </w:r>
            <w:r w:rsidR="003F0B9E">
              <w:rPr>
                <w:lang w:val="fr-BE"/>
              </w:rPr>
              <w:t xml:space="preserve"> des prélèvements </w:t>
            </w:r>
            <w:r w:rsidRPr="00B07235">
              <w:rPr>
                <w:lang w:val="fr-BE"/>
              </w:rPr>
              <w:t>doi</w:t>
            </w:r>
            <w:r w:rsidR="003F0B9E">
              <w:rPr>
                <w:lang w:val="fr-BE"/>
              </w:rPr>
              <w:t>ven</w:t>
            </w:r>
            <w:r w:rsidRPr="00B07235">
              <w:rPr>
                <w:lang w:val="fr-BE"/>
              </w:rPr>
              <w:t>t être effectué</w:t>
            </w:r>
            <w:r w:rsidR="003F0B9E">
              <w:rPr>
                <w:lang w:val="fr-BE"/>
              </w:rPr>
              <w:t>s</w:t>
            </w:r>
            <w:r w:rsidRPr="00B07235">
              <w:rPr>
                <w:lang w:val="fr-BE"/>
              </w:rPr>
              <w:t xml:space="preserve"> dans chaque compartiment séparé de l'exploitation d'origine. Le lot ne peut quitter le troupeau qu'après qu'un examen virologique ait </w:t>
            </w:r>
            <w:r w:rsidR="003F0B9E">
              <w:rPr>
                <w:lang w:val="fr-BE"/>
              </w:rPr>
              <w:t>dé</w:t>
            </w:r>
            <w:r w:rsidRPr="00B07235">
              <w:rPr>
                <w:lang w:val="fr-BE"/>
              </w:rPr>
              <w:t xml:space="preserve">montré </w:t>
            </w:r>
            <w:r w:rsidR="003F0B9E">
              <w:rPr>
                <w:lang w:val="fr-BE"/>
              </w:rPr>
              <w:t xml:space="preserve">l’absence du </w:t>
            </w:r>
            <w:r w:rsidRPr="00B07235">
              <w:rPr>
                <w:lang w:val="fr-BE"/>
              </w:rPr>
              <w:t>virus H3. En outre, il doit faire l'objet d'un</w:t>
            </w:r>
            <w:r w:rsidR="003F0B9E">
              <w:rPr>
                <w:lang w:val="fr-BE"/>
              </w:rPr>
              <w:t>e</w:t>
            </w:r>
            <w:r w:rsidRPr="00B07235">
              <w:rPr>
                <w:lang w:val="fr-BE"/>
              </w:rPr>
              <w:t xml:space="preserve"> </w:t>
            </w:r>
            <w:r w:rsidR="003F0B9E">
              <w:rPr>
                <w:lang w:val="fr-BE"/>
              </w:rPr>
              <w:t xml:space="preserve">analyse </w:t>
            </w:r>
            <w:r w:rsidRPr="00B07235">
              <w:rPr>
                <w:lang w:val="fr-BE"/>
              </w:rPr>
              <w:t xml:space="preserve">sérologique </w:t>
            </w:r>
            <w:r w:rsidR="003F0B9E">
              <w:rPr>
                <w:lang w:val="fr-BE"/>
              </w:rPr>
              <w:t xml:space="preserve">réalisée après son arrivée </w:t>
            </w:r>
            <w:r w:rsidRPr="00B07235">
              <w:rPr>
                <w:lang w:val="fr-BE"/>
              </w:rPr>
              <w:t>dans l'exploitation de destination.</w:t>
            </w:r>
          </w:p>
          <w:p w14:paraId="64E78A3A" w14:textId="77777777" w:rsidR="00DE3E05" w:rsidRPr="00B07235" w:rsidRDefault="00DE3E05" w:rsidP="003F0B9E">
            <w:pPr>
              <w:spacing w:before="120"/>
              <w:rPr>
                <w:lang w:val="fr-BE"/>
              </w:rPr>
            </w:pPr>
            <w:r w:rsidRPr="003F0B9E">
              <w:rPr>
                <w:lang w:val="fr-BE"/>
              </w:rPr>
              <w:t xml:space="preserve">Dans </w:t>
            </w:r>
            <w:r w:rsidRPr="003F0B9E">
              <w:rPr>
                <w:u w:val="dotted"/>
                <w:lang w:val="fr-BE"/>
              </w:rPr>
              <w:t>l'exploitation d'origine</w:t>
            </w:r>
            <w:r w:rsidRPr="003F0B9E">
              <w:rPr>
                <w:lang w:val="fr-BE"/>
              </w:rPr>
              <w:t>,</w:t>
            </w:r>
            <w:r w:rsidRPr="00B07235">
              <w:rPr>
                <w:lang w:val="fr-BE"/>
              </w:rPr>
              <w:t xml:space="preserve"> pour chaque compartiment séparé, un écouvillon cloacal et un écouvillon trachéal ainsi qu'un échantillon de sang sont prélevés sur 9 animaux. </w:t>
            </w:r>
          </w:p>
          <w:p w14:paraId="21AEB4DB" w14:textId="66FD3D3C" w:rsidR="00DE3E05" w:rsidRPr="00B07235" w:rsidRDefault="00DE3E05" w:rsidP="003F0B9E">
            <w:pPr>
              <w:spacing w:before="120"/>
              <w:rPr>
                <w:lang w:val="fr-BE"/>
              </w:rPr>
            </w:pPr>
            <w:r w:rsidRPr="00B07235">
              <w:rPr>
                <w:lang w:val="fr-BE"/>
              </w:rPr>
              <w:t xml:space="preserve">Dans </w:t>
            </w:r>
            <w:r w:rsidRPr="003F0B9E">
              <w:rPr>
                <w:u w:val="dotted"/>
                <w:lang w:val="fr-BE"/>
              </w:rPr>
              <w:t>l'exploitation de destination</w:t>
            </w:r>
            <w:r w:rsidRPr="00B07235">
              <w:rPr>
                <w:lang w:val="fr-BE"/>
              </w:rPr>
              <w:t>,</w:t>
            </w:r>
            <w:r w:rsidR="001B3B7D" w:rsidRPr="00B07235">
              <w:rPr>
                <w:lang w:val="fr-BE"/>
              </w:rPr>
              <w:t xml:space="preserve"> 10</w:t>
            </w:r>
            <w:r w:rsidRPr="00B07235">
              <w:rPr>
                <w:lang w:val="fr-BE"/>
              </w:rPr>
              <w:t xml:space="preserve"> échantillons de sérum sont prélevés au cours de la quatrième semaine suivant l'arrivée, uniquement </w:t>
            </w:r>
            <w:r w:rsidR="003F0B9E">
              <w:rPr>
                <w:lang w:val="fr-BE"/>
              </w:rPr>
              <w:t xml:space="preserve">dans </w:t>
            </w:r>
            <w:r w:rsidRPr="00B07235">
              <w:rPr>
                <w:lang w:val="fr-BE"/>
              </w:rPr>
              <w:t>le lot livré.</w:t>
            </w:r>
            <w:r w:rsidR="004B1496">
              <w:rPr>
                <w:lang w:val="fr-BE"/>
              </w:rPr>
              <w:t xml:space="preserve"> Le formulaire de demande d’analyses doit clairement indiquer le numéro de troupeau de l’ex</w:t>
            </w:r>
            <w:r w:rsidR="00E13267">
              <w:rPr>
                <w:lang w:val="fr-BE"/>
              </w:rPr>
              <w:t>p</w:t>
            </w:r>
            <w:r w:rsidR="004B1496">
              <w:rPr>
                <w:lang w:val="fr-BE"/>
              </w:rPr>
              <w:t xml:space="preserve">loitation </w:t>
            </w:r>
            <w:r w:rsidR="0076326D">
              <w:rPr>
                <w:lang w:val="fr-BE"/>
              </w:rPr>
              <w:t>d’</w:t>
            </w:r>
            <w:r w:rsidR="004B1496">
              <w:rPr>
                <w:lang w:val="fr-BE"/>
              </w:rPr>
              <w:t>origine d</w:t>
            </w:r>
            <w:r w:rsidR="0076326D">
              <w:rPr>
                <w:lang w:val="fr-BE"/>
              </w:rPr>
              <w:t>u</w:t>
            </w:r>
            <w:r w:rsidR="004B1496">
              <w:rPr>
                <w:lang w:val="fr-BE"/>
              </w:rPr>
              <w:t xml:space="preserve"> lot en question.</w:t>
            </w:r>
          </w:p>
          <w:p w14:paraId="465CEA9C" w14:textId="6E7118AD" w:rsidR="00DE3E05" w:rsidRPr="003F0B9E" w:rsidRDefault="00DE3E05" w:rsidP="00DE3E05">
            <w:pPr>
              <w:spacing w:before="240"/>
              <w:rPr>
                <w:b/>
                <w:u w:val="single"/>
                <w:lang w:val="fr-BE"/>
              </w:rPr>
            </w:pPr>
            <w:r w:rsidRPr="003F0B9E">
              <w:rPr>
                <w:b/>
                <w:u w:val="single"/>
                <w:lang w:val="fr-BE"/>
              </w:rPr>
              <w:t>Œufs à couver</w:t>
            </w:r>
          </w:p>
          <w:p w14:paraId="75A12D39" w14:textId="16FE1581" w:rsidR="00DE3E05" w:rsidRPr="00B07235" w:rsidRDefault="003156A8" w:rsidP="003F0B9E">
            <w:pPr>
              <w:spacing w:before="120"/>
              <w:rPr>
                <w:lang w:val="fr-BE"/>
              </w:rPr>
            </w:pPr>
            <w:r w:rsidRPr="00B07235">
              <w:rPr>
                <w:lang w:val="fr-BE"/>
              </w:rPr>
              <w:t xml:space="preserve">Le transport d’œufs à couver à partir d’une exploitation pour une destination autre qu’une </w:t>
            </w:r>
            <w:proofErr w:type="spellStart"/>
            <w:r w:rsidRPr="00B07235">
              <w:rPr>
                <w:lang w:val="fr-BE"/>
              </w:rPr>
              <w:t>casserie</w:t>
            </w:r>
            <w:proofErr w:type="spellEnd"/>
            <w:r w:rsidRPr="00B07235">
              <w:rPr>
                <w:lang w:val="fr-BE"/>
              </w:rPr>
              <w:t xml:space="preserve"> </w:t>
            </w:r>
            <w:r w:rsidRPr="00B07235">
              <w:rPr>
                <w:lang w:val="fr-BE"/>
              </w:rPr>
              <w:br/>
            </w:r>
            <w:r w:rsidR="00DE3E05" w:rsidRPr="00B07235">
              <w:rPr>
                <w:lang w:val="fr-BE"/>
              </w:rPr>
              <w:t>n'est autorisé que si les</w:t>
            </w:r>
            <w:r w:rsidR="00A92F15" w:rsidRPr="00B07235">
              <w:rPr>
                <w:lang w:val="fr-BE"/>
              </w:rPr>
              <w:t xml:space="preserve"> poules mères</w:t>
            </w:r>
            <w:r w:rsidR="00DE3E05" w:rsidRPr="00B07235">
              <w:rPr>
                <w:lang w:val="fr-BE"/>
              </w:rPr>
              <w:t xml:space="preserve"> font l'objet d'un échantillonnage régulier et si les résultats des analyses démontrent l'absence du virus H3.</w:t>
            </w:r>
          </w:p>
          <w:p w14:paraId="4350D9A5" w14:textId="2A909B57" w:rsidR="00DE3E05" w:rsidRPr="00B07235" w:rsidRDefault="00DE3E05" w:rsidP="003F0B9E">
            <w:pPr>
              <w:spacing w:before="120"/>
              <w:rPr>
                <w:lang w:val="fr-BE"/>
              </w:rPr>
            </w:pPr>
            <w:r w:rsidRPr="00B07235">
              <w:rPr>
                <w:lang w:val="fr-BE"/>
              </w:rPr>
              <w:t xml:space="preserve">L'échantillonnage consiste en un échantillonnage de </w:t>
            </w:r>
            <w:r w:rsidR="003F0B9E">
              <w:rPr>
                <w:lang w:val="fr-BE"/>
              </w:rPr>
              <w:t xml:space="preserve">10 </w:t>
            </w:r>
            <w:r w:rsidRPr="00B07235">
              <w:rPr>
                <w:lang w:val="fr-BE"/>
              </w:rPr>
              <w:t>échantillons de sang par compartiment</w:t>
            </w:r>
            <w:r w:rsidR="003156A8" w:rsidRPr="00B07235">
              <w:rPr>
                <w:lang w:val="fr-BE"/>
              </w:rPr>
              <w:t xml:space="preserve"> séparé</w:t>
            </w:r>
            <w:r w:rsidR="003F0B9E">
              <w:rPr>
                <w:lang w:val="fr-BE"/>
              </w:rPr>
              <w:t xml:space="preserve"> toutes les trois semaines</w:t>
            </w:r>
            <w:r w:rsidRPr="00B07235">
              <w:rPr>
                <w:lang w:val="fr-BE"/>
              </w:rPr>
              <w:t>.</w:t>
            </w:r>
          </w:p>
          <w:p w14:paraId="2EC89B9C" w14:textId="76A33B6A" w:rsidR="00675EB5" w:rsidRPr="00B07235" w:rsidRDefault="00DE3E05" w:rsidP="003F0B9E">
            <w:pPr>
              <w:spacing w:before="120"/>
              <w:rPr>
                <w:lang w:val="fr-BE"/>
              </w:rPr>
            </w:pPr>
            <w:r w:rsidRPr="00B07235">
              <w:rPr>
                <w:lang w:val="fr-BE"/>
              </w:rPr>
              <w:t>Dès que la présence du virus H3 a été détectée</w:t>
            </w:r>
            <w:r w:rsidR="00944058">
              <w:rPr>
                <w:lang w:val="fr-BE"/>
              </w:rPr>
              <w:t xml:space="preserve"> dans l’exploitation</w:t>
            </w:r>
            <w:r w:rsidRPr="00B07235">
              <w:rPr>
                <w:lang w:val="fr-BE"/>
              </w:rPr>
              <w:t xml:space="preserve">, </w:t>
            </w:r>
            <w:r w:rsidR="00944058">
              <w:rPr>
                <w:lang w:val="fr-BE"/>
              </w:rPr>
              <w:t xml:space="preserve">au niveau du couvoir </w:t>
            </w:r>
            <w:r w:rsidRPr="00B07235">
              <w:rPr>
                <w:lang w:val="fr-BE"/>
              </w:rPr>
              <w:t xml:space="preserve">aucun œuf à couver de l'exploitation ne peut être </w:t>
            </w:r>
            <w:r w:rsidR="00944058">
              <w:rPr>
                <w:lang w:val="fr-BE"/>
              </w:rPr>
              <w:t xml:space="preserve">mis </w:t>
            </w:r>
            <w:r w:rsidRPr="00B07235">
              <w:rPr>
                <w:lang w:val="fr-BE"/>
              </w:rPr>
              <w:t>dans le</w:t>
            </w:r>
            <w:r w:rsidR="00944058">
              <w:rPr>
                <w:lang w:val="fr-BE"/>
              </w:rPr>
              <w:t xml:space="preserve">s incubateurs </w:t>
            </w:r>
            <w:r w:rsidRPr="00B07235">
              <w:rPr>
                <w:lang w:val="fr-BE"/>
              </w:rPr>
              <w:t xml:space="preserve">et tous les œufs </w:t>
            </w:r>
            <w:r w:rsidR="00944058">
              <w:rPr>
                <w:lang w:val="fr-BE"/>
              </w:rPr>
              <w:t xml:space="preserve">mis en incubation </w:t>
            </w:r>
            <w:r w:rsidRPr="00B07235">
              <w:rPr>
                <w:lang w:val="fr-BE"/>
              </w:rPr>
              <w:t>depuis l</w:t>
            </w:r>
            <w:r w:rsidR="00944058">
              <w:rPr>
                <w:lang w:val="fr-BE"/>
              </w:rPr>
              <w:t xml:space="preserve">a dernière </w:t>
            </w:r>
            <w:r w:rsidRPr="00B07235">
              <w:rPr>
                <w:lang w:val="fr-BE"/>
              </w:rPr>
              <w:t xml:space="preserve">analyse </w:t>
            </w:r>
            <w:r w:rsidR="00944058">
              <w:rPr>
                <w:lang w:val="fr-BE"/>
              </w:rPr>
              <w:t xml:space="preserve">conforme </w:t>
            </w:r>
            <w:r w:rsidRPr="00B07235">
              <w:rPr>
                <w:lang w:val="fr-BE"/>
              </w:rPr>
              <w:t xml:space="preserve">doivent </w:t>
            </w:r>
            <w:r w:rsidRPr="00B07235">
              <w:rPr>
                <w:lang w:val="fr-BE"/>
              </w:rPr>
              <w:lastRenderedPageBreak/>
              <w:t>être retirés d</w:t>
            </w:r>
            <w:r w:rsidR="00944058">
              <w:rPr>
                <w:lang w:val="fr-BE"/>
              </w:rPr>
              <w:t>es incubateurs</w:t>
            </w:r>
            <w:r w:rsidRPr="00B07235">
              <w:rPr>
                <w:lang w:val="fr-BE"/>
              </w:rPr>
              <w:t>.</w:t>
            </w:r>
          </w:p>
        </w:tc>
      </w:tr>
      <w:tr w:rsidR="00581C78" w:rsidRPr="000C40A5" w14:paraId="02621DD4" w14:textId="77777777" w:rsidTr="00D25587">
        <w:trPr>
          <w:trHeight w:val="227"/>
          <w:jc w:val="center"/>
        </w:trPr>
        <w:tc>
          <w:tcPr>
            <w:tcW w:w="4532" w:type="dxa"/>
            <w:noWrap/>
          </w:tcPr>
          <w:p w14:paraId="66224F94" w14:textId="77777777" w:rsidR="009F4679" w:rsidRPr="00581C78" w:rsidRDefault="009F4679">
            <w:pPr>
              <w:rPr>
                <w:b/>
                <w:bCs/>
                <w:lang w:val="fr-BE"/>
              </w:rPr>
            </w:pPr>
          </w:p>
        </w:tc>
        <w:tc>
          <w:tcPr>
            <w:tcW w:w="565" w:type="dxa"/>
            <w:noWrap/>
          </w:tcPr>
          <w:p w14:paraId="4D53BBCE" w14:textId="77777777" w:rsidR="000E2D5B" w:rsidRPr="00581C78" w:rsidRDefault="000E2D5B">
            <w:pPr>
              <w:rPr>
                <w:u w:val="single"/>
                <w:lang w:val="fr-FR"/>
              </w:rPr>
            </w:pPr>
          </w:p>
        </w:tc>
        <w:tc>
          <w:tcPr>
            <w:tcW w:w="4537" w:type="dxa"/>
            <w:noWrap/>
          </w:tcPr>
          <w:p w14:paraId="20589BEA" w14:textId="77777777" w:rsidR="000E2D5B" w:rsidRPr="00B07235" w:rsidRDefault="000E2D5B">
            <w:pPr>
              <w:rPr>
                <w:b/>
                <w:bCs/>
                <w:lang w:val="fr-BE"/>
              </w:rPr>
            </w:pPr>
          </w:p>
        </w:tc>
      </w:tr>
      <w:tr w:rsidR="00581C78" w:rsidRPr="000C40A5" w14:paraId="2950448F" w14:textId="77777777" w:rsidTr="00D25587">
        <w:trPr>
          <w:trHeight w:val="397"/>
          <w:jc w:val="center"/>
        </w:trPr>
        <w:tc>
          <w:tcPr>
            <w:tcW w:w="4532" w:type="dxa"/>
            <w:noWrap/>
          </w:tcPr>
          <w:p w14:paraId="091EFBE0" w14:textId="77777777" w:rsidR="000E2D5B" w:rsidRPr="00581C78" w:rsidRDefault="00E61929">
            <w:pPr>
              <w:pStyle w:val="Kop2"/>
              <w:keepNext w:val="0"/>
              <w:rPr>
                <w:b/>
                <w:bCs/>
                <w:color w:val="auto"/>
                <w:lang w:val="nl-BE"/>
              </w:rPr>
            </w:pPr>
            <w:r w:rsidRPr="00581C78">
              <w:rPr>
                <w:b/>
                <w:bCs/>
                <w:color w:val="auto"/>
                <w:u w:val="none"/>
                <w:lang w:val="nl-BE"/>
              </w:rPr>
              <w:t>6</w:t>
            </w:r>
            <w:r w:rsidR="000E2D5B" w:rsidRPr="00581C78">
              <w:rPr>
                <w:b/>
                <w:bCs/>
                <w:color w:val="auto"/>
                <w:u w:val="none"/>
                <w:lang w:val="nl-BE"/>
              </w:rPr>
              <w:t xml:space="preserve">.  </w:t>
            </w:r>
            <w:r w:rsidRPr="00581C78">
              <w:rPr>
                <w:b/>
                <w:bCs/>
                <w:color w:val="auto"/>
                <w:lang w:val="nl-BE"/>
              </w:rPr>
              <w:t>Kosten</w:t>
            </w:r>
          </w:p>
          <w:p w14:paraId="6BE3502A" w14:textId="05C8A552" w:rsidR="000E2D5B" w:rsidRPr="00581C78" w:rsidRDefault="00DD6BFD">
            <w:pPr>
              <w:spacing w:before="120"/>
              <w:rPr>
                <w:lang w:val="nl-BE"/>
              </w:rPr>
            </w:pPr>
            <w:r w:rsidRPr="00581C78">
              <w:rPr>
                <w:lang w:val="nl-BE"/>
              </w:rPr>
              <w:t xml:space="preserve">De kosten van </w:t>
            </w:r>
            <w:r w:rsidR="00751988" w:rsidRPr="00581C78">
              <w:rPr>
                <w:lang w:val="nl-BE"/>
              </w:rPr>
              <w:t>de bedrijfsbezoeken</w:t>
            </w:r>
            <w:r w:rsidR="00D10807" w:rsidRPr="00581C78">
              <w:rPr>
                <w:lang w:val="nl-BE"/>
              </w:rPr>
              <w:t xml:space="preserve">, </w:t>
            </w:r>
            <w:r w:rsidR="00751988" w:rsidRPr="00581C78">
              <w:rPr>
                <w:lang w:val="nl-BE"/>
              </w:rPr>
              <w:t>monsternemingen</w:t>
            </w:r>
            <w:r w:rsidR="00D10807" w:rsidRPr="00581C78">
              <w:rPr>
                <w:lang w:val="nl-BE"/>
              </w:rPr>
              <w:t xml:space="preserve"> en laboratoriumanalyses</w:t>
            </w:r>
            <w:r w:rsidR="00751988" w:rsidRPr="00581C78">
              <w:rPr>
                <w:lang w:val="nl-BE"/>
              </w:rPr>
              <w:t xml:space="preserve"> </w:t>
            </w:r>
            <w:r w:rsidRPr="00581C78">
              <w:rPr>
                <w:lang w:val="nl-BE"/>
              </w:rPr>
              <w:t>zijn ten laste van de pluimveehouder</w:t>
            </w:r>
            <w:r w:rsidR="00D10807" w:rsidRPr="00581C78">
              <w:rPr>
                <w:lang w:val="nl-BE"/>
              </w:rPr>
              <w:t>.</w:t>
            </w:r>
          </w:p>
        </w:tc>
        <w:tc>
          <w:tcPr>
            <w:tcW w:w="565" w:type="dxa"/>
            <w:noWrap/>
          </w:tcPr>
          <w:p w14:paraId="0A874F1A" w14:textId="77777777" w:rsidR="000E2D5B" w:rsidRPr="00581C78" w:rsidRDefault="000E2D5B">
            <w:pPr>
              <w:rPr>
                <w:u w:val="single"/>
                <w:lang w:val="nl-BE"/>
              </w:rPr>
            </w:pPr>
          </w:p>
        </w:tc>
        <w:tc>
          <w:tcPr>
            <w:tcW w:w="4537" w:type="dxa"/>
            <w:noWrap/>
          </w:tcPr>
          <w:p w14:paraId="03F24508" w14:textId="77777777" w:rsidR="000E2D5B" w:rsidRPr="00B07235" w:rsidRDefault="00E61929">
            <w:pPr>
              <w:pStyle w:val="Kop2"/>
              <w:keepNext w:val="0"/>
              <w:rPr>
                <w:b/>
                <w:bCs/>
                <w:color w:val="auto"/>
                <w:lang w:val="fr-BE"/>
              </w:rPr>
            </w:pPr>
            <w:r w:rsidRPr="00B07235">
              <w:rPr>
                <w:b/>
                <w:bCs/>
                <w:color w:val="auto"/>
                <w:u w:val="none"/>
                <w:lang w:val="fr-BE"/>
              </w:rPr>
              <w:t>6</w:t>
            </w:r>
            <w:r w:rsidR="000E2D5B" w:rsidRPr="00B07235">
              <w:rPr>
                <w:b/>
                <w:bCs/>
                <w:color w:val="auto"/>
                <w:u w:val="none"/>
                <w:lang w:val="fr-BE"/>
              </w:rPr>
              <w:t xml:space="preserve">.  </w:t>
            </w:r>
            <w:r w:rsidRPr="00B07235">
              <w:rPr>
                <w:b/>
                <w:bCs/>
                <w:color w:val="auto"/>
                <w:lang w:val="fr-BE"/>
              </w:rPr>
              <w:t>Frais</w:t>
            </w:r>
          </w:p>
          <w:p w14:paraId="70E5573A" w14:textId="525C5E09" w:rsidR="000E2D5B" w:rsidRPr="00B07235" w:rsidRDefault="003156A8">
            <w:pPr>
              <w:spacing w:before="120"/>
              <w:rPr>
                <w:lang w:val="fr-BE"/>
              </w:rPr>
            </w:pPr>
            <w:r w:rsidRPr="00B07235">
              <w:rPr>
                <w:lang w:val="fr-BE"/>
              </w:rPr>
              <w:t>Les coûts des visites d'exploitation, de</w:t>
            </w:r>
            <w:r w:rsidR="00944058">
              <w:rPr>
                <w:lang w:val="fr-BE"/>
              </w:rPr>
              <w:t>s</w:t>
            </w:r>
            <w:r w:rsidRPr="00B07235">
              <w:rPr>
                <w:lang w:val="fr-BE"/>
              </w:rPr>
              <w:t xml:space="preserve"> </w:t>
            </w:r>
            <w:r w:rsidR="00944058">
              <w:rPr>
                <w:lang w:val="fr-BE"/>
              </w:rPr>
              <w:t xml:space="preserve">prélèvements </w:t>
            </w:r>
            <w:r w:rsidRPr="00B07235">
              <w:rPr>
                <w:lang w:val="fr-BE"/>
              </w:rPr>
              <w:t xml:space="preserve">et des analyses de laboratoire sont à la charge </w:t>
            </w:r>
            <w:r w:rsidR="00944058">
              <w:rPr>
                <w:lang w:val="fr-BE"/>
              </w:rPr>
              <w:t>du détenteur</w:t>
            </w:r>
            <w:r w:rsidRPr="00B07235">
              <w:rPr>
                <w:lang w:val="fr-BE"/>
              </w:rPr>
              <w:t>.</w:t>
            </w:r>
          </w:p>
        </w:tc>
      </w:tr>
      <w:tr w:rsidR="00581C78" w:rsidRPr="000C40A5" w14:paraId="09C9752B" w14:textId="77777777" w:rsidTr="00D25587">
        <w:trPr>
          <w:trHeight w:val="227"/>
          <w:jc w:val="center"/>
        </w:trPr>
        <w:tc>
          <w:tcPr>
            <w:tcW w:w="4532" w:type="dxa"/>
            <w:noWrap/>
          </w:tcPr>
          <w:p w14:paraId="783D6A43" w14:textId="77777777" w:rsidR="001C6C53" w:rsidRPr="00581C78" w:rsidRDefault="001C6C53">
            <w:pPr>
              <w:rPr>
                <w:b/>
                <w:bCs/>
                <w:lang w:val="fr-BE"/>
              </w:rPr>
            </w:pPr>
          </w:p>
        </w:tc>
        <w:tc>
          <w:tcPr>
            <w:tcW w:w="565" w:type="dxa"/>
            <w:noWrap/>
          </w:tcPr>
          <w:p w14:paraId="67228F16" w14:textId="77777777" w:rsidR="000E2D5B" w:rsidRPr="00581C78" w:rsidRDefault="000E2D5B">
            <w:pPr>
              <w:rPr>
                <w:u w:val="single"/>
                <w:lang w:val="fr-FR"/>
              </w:rPr>
            </w:pPr>
          </w:p>
        </w:tc>
        <w:tc>
          <w:tcPr>
            <w:tcW w:w="4537" w:type="dxa"/>
            <w:noWrap/>
          </w:tcPr>
          <w:p w14:paraId="07334A4E" w14:textId="77777777" w:rsidR="000E2D5B" w:rsidRDefault="000E2D5B">
            <w:pPr>
              <w:rPr>
                <w:b/>
                <w:bCs/>
                <w:lang w:val="fr-FR"/>
              </w:rPr>
            </w:pPr>
          </w:p>
          <w:p w14:paraId="33D83DD9" w14:textId="3C904EFE" w:rsidR="00944058" w:rsidRPr="00944058" w:rsidRDefault="00944058">
            <w:pPr>
              <w:rPr>
                <w:b/>
                <w:bCs/>
                <w:lang w:val="fr-FR"/>
              </w:rPr>
            </w:pPr>
          </w:p>
        </w:tc>
      </w:tr>
      <w:tr w:rsidR="00581C78" w:rsidRPr="000C40A5" w14:paraId="185A0BC9" w14:textId="77777777" w:rsidTr="00D25587">
        <w:trPr>
          <w:trHeight w:val="20"/>
          <w:jc w:val="center"/>
        </w:trPr>
        <w:tc>
          <w:tcPr>
            <w:tcW w:w="4532" w:type="dxa"/>
            <w:noWrap/>
          </w:tcPr>
          <w:p w14:paraId="10A0A31A" w14:textId="77777777" w:rsidR="000E2D5B" w:rsidRPr="00581C78" w:rsidRDefault="00E61929">
            <w:pPr>
              <w:pStyle w:val="Kop7"/>
              <w:rPr>
                <w:lang w:val="nl-BE"/>
              </w:rPr>
            </w:pPr>
            <w:r w:rsidRPr="00581C78">
              <w:rPr>
                <w:u w:val="none"/>
                <w:lang w:val="nl-BE"/>
              </w:rPr>
              <w:t>7</w:t>
            </w:r>
            <w:r w:rsidR="000E2D5B" w:rsidRPr="00581C78">
              <w:rPr>
                <w:u w:val="none"/>
                <w:lang w:val="nl-BE"/>
              </w:rPr>
              <w:t xml:space="preserve">.  </w:t>
            </w:r>
            <w:r w:rsidR="000E2D5B" w:rsidRPr="00581C78">
              <w:rPr>
                <w:lang w:val="nl-BE"/>
              </w:rPr>
              <w:t>Timing</w:t>
            </w:r>
          </w:p>
          <w:p w14:paraId="7D9DE3EC" w14:textId="28EBF8D9" w:rsidR="000E2D5B" w:rsidRPr="00581C78" w:rsidRDefault="000E2D5B">
            <w:pPr>
              <w:pStyle w:val="Koptekst"/>
              <w:tabs>
                <w:tab w:val="clear" w:pos="4153"/>
                <w:tab w:val="clear" w:pos="8306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120"/>
              <w:rPr>
                <w:b/>
                <w:bCs/>
                <w:lang w:val="nl-BE"/>
              </w:rPr>
            </w:pPr>
            <w:r w:rsidRPr="00581C78">
              <w:rPr>
                <w:lang w:val="nl-BE"/>
              </w:rPr>
              <w:t>Deze procedure is van toepassing vanaf</w:t>
            </w:r>
            <w:r w:rsidR="001A1C01" w:rsidRPr="00581C78">
              <w:rPr>
                <w:lang w:val="nl-BE"/>
              </w:rPr>
              <w:t xml:space="preserve"> </w:t>
            </w:r>
            <w:r w:rsidR="00DD6BFD" w:rsidRPr="00581C78">
              <w:rPr>
                <w:lang w:val="nl-BE"/>
              </w:rPr>
              <w:t>de public</w:t>
            </w:r>
            <w:r w:rsidR="00BA1FB0" w:rsidRPr="00581C78">
              <w:rPr>
                <w:lang w:val="nl-BE"/>
              </w:rPr>
              <w:t xml:space="preserve">atie </w:t>
            </w:r>
            <w:r w:rsidR="00DD6BFD" w:rsidRPr="00581C78">
              <w:rPr>
                <w:lang w:val="nl-BE"/>
              </w:rPr>
              <w:t>v</w:t>
            </w:r>
            <w:r w:rsidR="00BA1FB0" w:rsidRPr="00581C78">
              <w:rPr>
                <w:lang w:val="nl-BE"/>
              </w:rPr>
              <w:t xml:space="preserve">an het </w:t>
            </w:r>
            <w:r w:rsidR="00944058">
              <w:rPr>
                <w:lang w:val="nl-BE"/>
              </w:rPr>
              <w:t xml:space="preserve">ministerieel besluit </w:t>
            </w:r>
            <w:r w:rsidR="00BA1FB0" w:rsidRPr="00581C78">
              <w:rPr>
                <w:lang w:val="nl-BE"/>
              </w:rPr>
              <w:t>in het Staatsblad.</w:t>
            </w:r>
          </w:p>
        </w:tc>
        <w:tc>
          <w:tcPr>
            <w:tcW w:w="565" w:type="dxa"/>
            <w:noWrap/>
          </w:tcPr>
          <w:p w14:paraId="2D3DDFE1" w14:textId="77777777" w:rsidR="000E2D5B" w:rsidRPr="00581C78" w:rsidRDefault="000E2D5B">
            <w:pPr>
              <w:rPr>
                <w:u w:val="single"/>
                <w:lang w:val="nl-BE"/>
              </w:rPr>
            </w:pPr>
          </w:p>
        </w:tc>
        <w:tc>
          <w:tcPr>
            <w:tcW w:w="4537" w:type="dxa"/>
            <w:noWrap/>
          </w:tcPr>
          <w:p w14:paraId="39C27A0E" w14:textId="77777777" w:rsidR="000E2D5B" w:rsidRPr="00B07235" w:rsidRDefault="00E61929">
            <w:pPr>
              <w:rPr>
                <w:b/>
                <w:bCs/>
                <w:u w:val="single"/>
                <w:lang w:val="fr-BE"/>
              </w:rPr>
            </w:pPr>
            <w:r w:rsidRPr="00B07235">
              <w:rPr>
                <w:b/>
                <w:bCs/>
                <w:lang w:val="fr-BE"/>
              </w:rPr>
              <w:t>7</w:t>
            </w:r>
            <w:r w:rsidR="000E2D5B" w:rsidRPr="00B07235">
              <w:rPr>
                <w:b/>
                <w:bCs/>
                <w:lang w:val="fr-BE"/>
              </w:rPr>
              <w:t xml:space="preserve">.  </w:t>
            </w:r>
            <w:r w:rsidR="000E2D5B" w:rsidRPr="00B07235">
              <w:rPr>
                <w:b/>
                <w:bCs/>
                <w:u w:val="single"/>
                <w:lang w:val="fr-BE"/>
              </w:rPr>
              <w:t>Timing</w:t>
            </w:r>
            <w:r w:rsidR="000E2D5B" w:rsidRPr="00B07235">
              <w:rPr>
                <w:lang w:val="fr-BE"/>
              </w:rPr>
              <w:t xml:space="preserve"> </w:t>
            </w:r>
          </w:p>
          <w:p w14:paraId="74D13137" w14:textId="78E19B21" w:rsidR="003156A8" w:rsidRPr="00B07235" w:rsidRDefault="000E2D5B">
            <w:pPr>
              <w:spacing w:before="120"/>
              <w:outlineLvl w:val="1"/>
              <w:rPr>
                <w:b/>
                <w:bCs/>
                <w:lang w:val="fr-BE"/>
              </w:rPr>
            </w:pPr>
            <w:r w:rsidRPr="00B07235">
              <w:rPr>
                <w:lang w:val="fr-BE"/>
              </w:rPr>
              <w:t>Cette procédure est d’application à partir d</w:t>
            </w:r>
            <w:r w:rsidR="003156A8" w:rsidRPr="00B07235">
              <w:rPr>
                <w:lang w:val="fr-BE"/>
              </w:rPr>
              <w:t>e la publication de l’</w:t>
            </w:r>
            <w:r w:rsidR="00944058">
              <w:rPr>
                <w:lang w:val="fr-BE"/>
              </w:rPr>
              <w:t>arrêté ministériel</w:t>
            </w:r>
            <w:r w:rsidR="003156A8" w:rsidRPr="00B07235">
              <w:rPr>
                <w:lang w:val="fr-BE"/>
              </w:rPr>
              <w:t xml:space="preserve"> au Moniteur Belge.</w:t>
            </w:r>
          </w:p>
        </w:tc>
      </w:tr>
    </w:tbl>
    <w:p w14:paraId="5182DAC9" w14:textId="77777777" w:rsidR="000E2D5B" w:rsidRDefault="000E2D5B">
      <w:pPr>
        <w:pStyle w:val="Koptekst"/>
        <w:tabs>
          <w:tab w:val="clear" w:pos="4153"/>
          <w:tab w:val="clear" w:pos="8306"/>
          <w:tab w:val="left" w:pos="567"/>
          <w:tab w:val="left" w:pos="1134"/>
          <w:tab w:val="left" w:pos="1701"/>
          <w:tab w:val="left" w:pos="2268"/>
          <w:tab w:val="left" w:pos="2835"/>
        </w:tabs>
        <w:rPr>
          <w:lang w:val="fr-FR"/>
        </w:rPr>
      </w:pPr>
    </w:p>
    <w:p w14:paraId="241036C6" w14:textId="77777777" w:rsidR="000E2D5B" w:rsidRDefault="000E2D5B" w:rsidP="006E4EB6">
      <w:pPr>
        <w:pStyle w:val="Koptekst"/>
        <w:tabs>
          <w:tab w:val="clear" w:pos="4153"/>
          <w:tab w:val="clear" w:pos="8306"/>
          <w:tab w:val="left" w:pos="567"/>
          <w:tab w:val="left" w:pos="1134"/>
          <w:tab w:val="left" w:pos="1701"/>
          <w:tab w:val="left" w:pos="2268"/>
          <w:tab w:val="left" w:pos="2835"/>
        </w:tabs>
        <w:rPr>
          <w:lang w:val="fr-FR"/>
        </w:rPr>
      </w:pPr>
    </w:p>
    <w:sectPr w:rsidR="000E2D5B" w:rsidSect="00B072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418" w:left="1134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07425" w14:textId="77777777" w:rsidR="00766381" w:rsidRDefault="00766381" w:rsidP="000E2D5B">
      <w:pPr>
        <w:spacing w:line="240" w:lineRule="auto"/>
      </w:pPr>
      <w:r>
        <w:separator/>
      </w:r>
    </w:p>
  </w:endnote>
  <w:endnote w:type="continuationSeparator" w:id="0">
    <w:p w14:paraId="19B58E69" w14:textId="77777777" w:rsidR="00766381" w:rsidRDefault="00766381" w:rsidP="000E2D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9D710" w14:textId="77777777" w:rsidR="000C40A5" w:rsidRDefault="000C40A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F44B7" w14:textId="32E98036" w:rsidR="006E4EB6" w:rsidRPr="00B07235" w:rsidRDefault="00B07235" w:rsidP="00B07235">
    <w:pPr>
      <w:pStyle w:val="Voettekst"/>
      <w:tabs>
        <w:tab w:val="clear" w:pos="9072"/>
        <w:tab w:val="center" w:pos="5245"/>
        <w:tab w:val="right" w:pos="9600"/>
      </w:tabs>
      <w:rPr>
        <w:rStyle w:val="Paginanummer"/>
        <w:sz w:val="16"/>
      </w:rPr>
    </w:pPr>
    <w:bookmarkStart w:id="0" w:name="_GoBack"/>
    <w:bookmarkEnd w:id="0"/>
    <w:r w:rsidRPr="00B07235">
      <w:t>v1</w:t>
    </w:r>
    <w:r w:rsidR="006E4EB6" w:rsidRPr="00B07235">
      <w:t xml:space="preserve"> -  </w:t>
    </w:r>
    <w:r w:rsidRPr="00B07235">
      <w:t>1</w:t>
    </w:r>
    <w:r w:rsidR="00B36697">
      <w:t>2</w:t>
    </w:r>
    <w:r w:rsidRPr="00B07235">
      <w:t>.06.2019</w:t>
    </w:r>
    <w:r w:rsidR="006E4EB6" w:rsidRPr="00B07235">
      <w:tab/>
    </w:r>
    <w:r w:rsidR="00C63177" w:rsidRPr="00B07235">
      <w:t>Monsternemingen</w:t>
    </w:r>
    <w:r w:rsidR="006E4EB6" w:rsidRPr="00B07235">
      <w:t xml:space="preserve"> </w:t>
    </w:r>
    <w:r w:rsidR="008B2D46" w:rsidRPr="00B07235">
      <w:t>in het kader van het verplaatsen van pluimvee en broedeieren</w:t>
    </w:r>
    <w:r w:rsidR="006E4EB6" w:rsidRPr="00B07235">
      <w:tab/>
    </w:r>
    <w:r w:rsidR="006E4EB6" w:rsidRPr="00B07235">
      <w:rPr>
        <w:rStyle w:val="Paginanummer"/>
        <w:sz w:val="16"/>
      </w:rPr>
      <w:fldChar w:fldCharType="begin"/>
    </w:r>
    <w:r w:rsidR="006E4EB6" w:rsidRPr="00B07235">
      <w:rPr>
        <w:rStyle w:val="Paginanummer"/>
        <w:sz w:val="16"/>
      </w:rPr>
      <w:instrText xml:space="preserve"> PAGE </w:instrText>
    </w:r>
    <w:r w:rsidR="006E4EB6" w:rsidRPr="00B07235">
      <w:rPr>
        <w:rStyle w:val="Paginanummer"/>
        <w:sz w:val="16"/>
      </w:rPr>
      <w:fldChar w:fldCharType="separate"/>
    </w:r>
    <w:r w:rsidR="00FA51BE" w:rsidRPr="00B07235">
      <w:rPr>
        <w:rStyle w:val="Paginanummer"/>
        <w:noProof/>
        <w:sz w:val="16"/>
      </w:rPr>
      <w:t>2</w:t>
    </w:r>
    <w:r w:rsidR="006E4EB6" w:rsidRPr="00B07235">
      <w:rPr>
        <w:rStyle w:val="Paginanummer"/>
        <w:sz w:val="16"/>
      </w:rPr>
      <w:fldChar w:fldCharType="end"/>
    </w:r>
    <w:r w:rsidR="006E4EB6" w:rsidRPr="00B07235">
      <w:rPr>
        <w:rStyle w:val="Paginanummer"/>
        <w:sz w:val="16"/>
      </w:rPr>
      <w:t>/</w:t>
    </w:r>
    <w:r>
      <w:rPr>
        <w:rStyle w:val="Paginanummer"/>
        <w:sz w:val="16"/>
      </w:rPr>
      <w:t>3</w:t>
    </w:r>
  </w:p>
  <w:p w14:paraId="162E7B7D" w14:textId="2872C08B" w:rsidR="00766381" w:rsidRPr="00B07235" w:rsidRDefault="006E4EB6" w:rsidP="00B07235">
    <w:pPr>
      <w:pStyle w:val="Voettekst"/>
      <w:tabs>
        <w:tab w:val="clear" w:pos="9072"/>
        <w:tab w:val="center" w:pos="5245"/>
        <w:tab w:val="right" w:pos="9600"/>
      </w:tabs>
      <w:rPr>
        <w:lang w:val="fr-BE"/>
      </w:rPr>
    </w:pPr>
    <w:r w:rsidRPr="00B07235">
      <w:rPr>
        <w:rStyle w:val="Paginanummer"/>
        <w:sz w:val="16"/>
      </w:rPr>
      <w:tab/>
    </w:r>
    <w:r w:rsidR="00C63177" w:rsidRPr="00B07235">
      <w:rPr>
        <w:lang w:val="fr-BE"/>
      </w:rPr>
      <w:t>L</w:t>
    </w:r>
    <w:r w:rsidRPr="00B07235">
      <w:rPr>
        <w:lang w:val="fr-BE"/>
      </w:rPr>
      <w:t xml:space="preserve">’échantillonnage </w:t>
    </w:r>
    <w:r w:rsidR="008B2D46" w:rsidRPr="00B07235">
      <w:rPr>
        <w:lang w:val="fr-BE"/>
      </w:rPr>
      <w:t>dans le cadre de mouvements de volailles et d’œufs à couver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9475F" w14:textId="77777777" w:rsidR="000C40A5" w:rsidRDefault="000C40A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AC182" w14:textId="77777777" w:rsidR="00766381" w:rsidRDefault="00766381" w:rsidP="000E2D5B">
      <w:pPr>
        <w:spacing w:line="240" w:lineRule="auto"/>
      </w:pPr>
      <w:r>
        <w:separator/>
      </w:r>
    </w:p>
  </w:footnote>
  <w:footnote w:type="continuationSeparator" w:id="0">
    <w:p w14:paraId="6E878CB4" w14:textId="77777777" w:rsidR="00766381" w:rsidRDefault="00766381" w:rsidP="000E2D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5A1EB" w14:textId="77777777" w:rsidR="000C40A5" w:rsidRDefault="000C40A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F7B18" w14:textId="77777777" w:rsidR="000C40A5" w:rsidRDefault="000C40A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E141E" w14:textId="77777777" w:rsidR="000C40A5" w:rsidRDefault="000C40A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50503"/>
    <w:multiLevelType w:val="hybridMultilevel"/>
    <w:tmpl w:val="FC68C2EC"/>
    <w:lvl w:ilvl="0" w:tplc="B5588516">
      <w:start w:val="1"/>
      <w:numFmt w:val="bullet"/>
      <w:pStyle w:val="inspring1"/>
      <w:lvlText w:val="-"/>
      <w:lvlJc w:val="left"/>
      <w:pPr>
        <w:tabs>
          <w:tab w:val="num" w:pos="814"/>
        </w:tabs>
        <w:ind w:left="738" w:hanging="284"/>
      </w:pPr>
      <w:rPr>
        <w:rFonts w:hint="default"/>
        <w:b w:val="0"/>
        <w:i w:val="0"/>
        <w:sz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89513C6"/>
    <w:multiLevelType w:val="hybridMultilevel"/>
    <w:tmpl w:val="1F9AB746"/>
    <w:lvl w:ilvl="0" w:tplc="80B63B54">
      <w:start w:val="1"/>
      <w:numFmt w:val="bullet"/>
      <w:pStyle w:val="inspring2"/>
      <w:lvlText w:val="-"/>
      <w:lvlJc w:val="left"/>
      <w:pPr>
        <w:tabs>
          <w:tab w:val="num" w:pos="1211"/>
        </w:tabs>
        <w:ind w:left="1135" w:hanging="284"/>
      </w:pPr>
      <w:rPr>
        <w:rFonts w:hint="default"/>
        <w:b w:val="0"/>
        <w:i w:val="0"/>
        <w:sz w:val="20"/>
      </w:rPr>
    </w:lvl>
    <w:lvl w:ilvl="1" w:tplc="C054D9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64B89"/>
    <w:multiLevelType w:val="hybridMultilevel"/>
    <w:tmpl w:val="13C0EEB6"/>
    <w:lvl w:ilvl="0" w:tplc="F1A00CE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" w15:restartNumberingAfterBreak="0">
    <w:nsid w:val="3ADF3283"/>
    <w:multiLevelType w:val="hybridMultilevel"/>
    <w:tmpl w:val="3F6EE1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6D3B8">
      <w:start w:val="1"/>
      <w:numFmt w:val="bullet"/>
      <w:pStyle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325E4B"/>
    <w:multiLevelType w:val="hybridMultilevel"/>
    <w:tmpl w:val="48FC4B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4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autoHyphenation/>
  <w:hyphenationZone w:val="170"/>
  <w:drawingGridHorizontalSpacing w:val="24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B84"/>
    <w:rsid w:val="00000E52"/>
    <w:rsid w:val="000328B4"/>
    <w:rsid w:val="0005471F"/>
    <w:rsid w:val="00063BDC"/>
    <w:rsid w:val="0007602E"/>
    <w:rsid w:val="000913A3"/>
    <w:rsid w:val="000913D1"/>
    <w:rsid w:val="00092A11"/>
    <w:rsid w:val="000941AD"/>
    <w:rsid w:val="00096F8B"/>
    <w:rsid w:val="000B46E5"/>
    <w:rsid w:val="000C3660"/>
    <w:rsid w:val="000C40A5"/>
    <w:rsid w:val="000E2D5B"/>
    <w:rsid w:val="000E5586"/>
    <w:rsid w:val="000F5A65"/>
    <w:rsid w:val="0010526B"/>
    <w:rsid w:val="00115B2A"/>
    <w:rsid w:val="0015682F"/>
    <w:rsid w:val="001872F0"/>
    <w:rsid w:val="001A1C01"/>
    <w:rsid w:val="001B3B7D"/>
    <w:rsid w:val="001B5961"/>
    <w:rsid w:val="001C1484"/>
    <w:rsid w:val="001C4AA5"/>
    <w:rsid w:val="001C6C53"/>
    <w:rsid w:val="001D0087"/>
    <w:rsid w:val="00220328"/>
    <w:rsid w:val="00224982"/>
    <w:rsid w:val="00237873"/>
    <w:rsid w:val="00247515"/>
    <w:rsid w:val="00270119"/>
    <w:rsid w:val="00287EA1"/>
    <w:rsid w:val="002A0A4B"/>
    <w:rsid w:val="002A0B4D"/>
    <w:rsid w:val="002B0895"/>
    <w:rsid w:val="002B63D3"/>
    <w:rsid w:val="002B72E1"/>
    <w:rsid w:val="002C2C65"/>
    <w:rsid w:val="002D5B3F"/>
    <w:rsid w:val="002E386F"/>
    <w:rsid w:val="003076FF"/>
    <w:rsid w:val="003156A8"/>
    <w:rsid w:val="00331164"/>
    <w:rsid w:val="00351223"/>
    <w:rsid w:val="003844A6"/>
    <w:rsid w:val="003B567F"/>
    <w:rsid w:val="003F0B9E"/>
    <w:rsid w:val="003F5E10"/>
    <w:rsid w:val="00476EBE"/>
    <w:rsid w:val="00497F0B"/>
    <w:rsid w:val="004B1496"/>
    <w:rsid w:val="004D7E3D"/>
    <w:rsid w:val="004F6375"/>
    <w:rsid w:val="0050658F"/>
    <w:rsid w:val="00507734"/>
    <w:rsid w:val="0051590A"/>
    <w:rsid w:val="00555670"/>
    <w:rsid w:val="00564881"/>
    <w:rsid w:val="005717F5"/>
    <w:rsid w:val="00581C78"/>
    <w:rsid w:val="005A5681"/>
    <w:rsid w:val="005D4C81"/>
    <w:rsid w:val="00604258"/>
    <w:rsid w:val="006151D0"/>
    <w:rsid w:val="00622D37"/>
    <w:rsid w:val="00645D29"/>
    <w:rsid w:val="00666242"/>
    <w:rsid w:val="00675EB5"/>
    <w:rsid w:val="006C1035"/>
    <w:rsid w:val="006C58E3"/>
    <w:rsid w:val="006E4EB6"/>
    <w:rsid w:val="00732E86"/>
    <w:rsid w:val="00736923"/>
    <w:rsid w:val="00746FF1"/>
    <w:rsid w:val="00751988"/>
    <w:rsid w:val="0076326D"/>
    <w:rsid w:val="00766381"/>
    <w:rsid w:val="00783732"/>
    <w:rsid w:val="007A0F31"/>
    <w:rsid w:val="007C49C1"/>
    <w:rsid w:val="008033BA"/>
    <w:rsid w:val="00832F5C"/>
    <w:rsid w:val="00833437"/>
    <w:rsid w:val="00836CD4"/>
    <w:rsid w:val="00854CEF"/>
    <w:rsid w:val="00884AC7"/>
    <w:rsid w:val="008B2D46"/>
    <w:rsid w:val="00944058"/>
    <w:rsid w:val="00972B3E"/>
    <w:rsid w:val="009A19A4"/>
    <w:rsid w:val="009F4679"/>
    <w:rsid w:val="00A05CFE"/>
    <w:rsid w:val="00A0639C"/>
    <w:rsid w:val="00A378F1"/>
    <w:rsid w:val="00A77D28"/>
    <w:rsid w:val="00A92F15"/>
    <w:rsid w:val="00B07235"/>
    <w:rsid w:val="00B36697"/>
    <w:rsid w:val="00B5488E"/>
    <w:rsid w:val="00B730FF"/>
    <w:rsid w:val="00B81AE3"/>
    <w:rsid w:val="00BA1FB0"/>
    <w:rsid w:val="00BC4C22"/>
    <w:rsid w:val="00C2537F"/>
    <w:rsid w:val="00C63177"/>
    <w:rsid w:val="00D10807"/>
    <w:rsid w:val="00D25587"/>
    <w:rsid w:val="00D46B84"/>
    <w:rsid w:val="00D623F1"/>
    <w:rsid w:val="00D7697E"/>
    <w:rsid w:val="00DC7BD1"/>
    <w:rsid w:val="00DD6BFD"/>
    <w:rsid w:val="00DE3E05"/>
    <w:rsid w:val="00DE65AE"/>
    <w:rsid w:val="00E10004"/>
    <w:rsid w:val="00E123D4"/>
    <w:rsid w:val="00E13267"/>
    <w:rsid w:val="00E22FF7"/>
    <w:rsid w:val="00E31A14"/>
    <w:rsid w:val="00E37ED4"/>
    <w:rsid w:val="00E47D8A"/>
    <w:rsid w:val="00E61929"/>
    <w:rsid w:val="00E9365C"/>
    <w:rsid w:val="00E96B39"/>
    <w:rsid w:val="00EB183F"/>
    <w:rsid w:val="00EB5E05"/>
    <w:rsid w:val="00ED6676"/>
    <w:rsid w:val="00EE34BC"/>
    <w:rsid w:val="00F16811"/>
    <w:rsid w:val="00F370E8"/>
    <w:rsid w:val="00F52252"/>
    <w:rsid w:val="00F533A5"/>
    <w:rsid w:val="00FA51BE"/>
    <w:rsid w:val="00FD62FD"/>
    <w:rsid w:val="00FD6636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70B27E4"/>
  <w15:docId w15:val="{C42FBB96-B85E-43F6-BD3D-50C47128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83732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</w:tabs>
      <w:spacing w:line="280" w:lineRule="exact"/>
    </w:pPr>
    <w:rPr>
      <w:rFonts w:ascii="Arial" w:hAnsi="Arial" w:cs="Arial"/>
      <w:snapToGrid w:val="0"/>
      <w:lang w:val="nl-NL" w:eastAsia="nl-NL"/>
    </w:rPr>
  </w:style>
  <w:style w:type="paragraph" w:styleId="Kop1">
    <w:name w:val="heading 1"/>
    <w:basedOn w:val="Standaard"/>
    <w:next w:val="Standaard"/>
    <w:qFormat/>
    <w:rsid w:val="00783732"/>
    <w:pPr>
      <w:keepNext/>
      <w:outlineLvl w:val="0"/>
    </w:pPr>
    <w:rPr>
      <w:b/>
      <w:bCs/>
      <w:color w:val="333333"/>
      <w:sz w:val="28"/>
    </w:rPr>
  </w:style>
  <w:style w:type="paragraph" w:styleId="Kop2">
    <w:name w:val="heading 2"/>
    <w:basedOn w:val="Standaard"/>
    <w:next w:val="Standaard"/>
    <w:qFormat/>
    <w:rsid w:val="00783732"/>
    <w:pPr>
      <w:keepNext/>
      <w:outlineLvl w:val="1"/>
    </w:pPr>
    <w:rPr>
      <w:color w:val="333333"/>
      <w:u w:val="single"/>
    </w:rPr>
  </w:style>
  <w:style w:type="paragraph" w:styleId="Kop3">
    <w:name w:val="heading 3"/>
    <w:basedOn w:val="Standaard"/>
    <w:next w:val="Standaard"/>
    <w:qFormat/>
    <w:rsid w:val="00783732"/>
    <w:pPr>
      <w:keepNext/>
      <w:jc w:val="center"/>
      <w:outlineLvl w:val="2"/>
    </w:pPr>
    <w:rPr>
      <w:b/>
      <w:bCs/>
      <w:sz w:val="28"/>
    </w:rPr>
  </w:style>
  <w:style w:type="paragraph" w:styleId="Kop4">
    <w:name w:val="heading 4"/>
    <w:basedOn w:val="Standaard"/>
    <w:next w:val="Standaard"/>
    <w:qFormat/>
    <w:rsid w:val="00783732"/>
    <w:pPr>
      <w:keepNext/>
      <w:spacing w:line="240" w:lineRule="auto"/>
      <w:outlineLvl w:val="3"/>
    </w:pPr>
    <w:rPr>
      <w:b/>
      <w:bCs/>
      <w:sz w:val="18"/>
    </w:rPr>
  </w:style>
  <w:style w:type="paragraph" w:styleId="Kop5">
    <w:name w:val="heading 5"/>
    <w:basedOn w:val="Standaard"/>
    <w:next w:val="Standaard"/>
    <w:qFormat/>
    <w:rsid w:val="00783732"/>
    <w:pPr>
      <w:keepNext/>
      <w:spacing w:line="240" w:lineRule="auto"/>
      <w:jc w:val="center"/>
      <w:outlineLvl w:val="4"/>
    </w:pPr>
    <w:rPr>
      <w:b/>
      <w:bCs/>
      <w:sz w:val="36"/>
      <w:szCs w:val="36"/>
      <w:lang w:val="fr-FR"/>
    </w:rPr>
  </w:style>
  <w:style w:type="paragraph" w:styleId="Kop6">
    <w:name w:val="heading 6"/>
    <w:basedOn w:val="Standaard"/>
    <w:next w:val="Standaard"/>
    <w:qFormat/>
    <w:rsid w:val="00783732"/>
    <w:pPr>
      <w:keepNext/>
      <w:spacing w:line="240" w:lineRule="auto"/>
      <w:outlineLvl w:val="5"/>
    </w:pPr>
    <w:rPr>
      <w:i/>
      <w:iCs/>
      <w:sz w:val="18"/>
      <w:lang w:val="fr-FR"/>
    </w:rPr>
  </w:style>
  <w:style w:type="paragraph" w:styleId="Kop7">
    <w:name w:val="heading 7"/>
    <w:basedOn w:val="Standaard"/>
    <w:next w:val="Standaard"/>
    <w:qFormat/>
    <w:rsid w:val="00783732"/>
    <w:pPr>
      <w:keepNext/>
      <w:outlineLvl w:val="6"/>
    </w:pPr>
    <w:rPr>
      <w:b/>
      <w:bCs/>
      <w:u w:val="single"/>
      <w:lang w:val="fr-FR"/>
    </w:rPr>
  </w:style>
  <w:style w:type="paragraph" w:styleId="Kop8">
    <w:name w:val="heading 8"/>
    <w:basedOn w:val="Standaard"/>
    <w:next w:val="Standaard"/>
    <w:qFormat/>
    <w:rsid w:val="00783732"/>
    <w:pPr>
      <w:keepNext/>
      <w:spacing w:before="120"/>
      <w:ind w:left="113" w:right="113"/>
      <w:jc w:val="center"/>
      <w:outlineLvl w:val="7"/>
    </w:pPr>
    <w:rPr>
      <w:b/>
      <w:bCs/>
      <w:sz w:val="28"/>
      <w:lang w:val="fr-FR"/>
    </w:rPr>
  </w:style>
  <w:style w:type="paragraph" w:styleId="Kop9">
    <w:name w:val="heading 9"/>
    <w:basedOn w:val="Standaard"/>
    <w:next w:val="Standaard"/>
    <w:qFormat/>
    <w:rsid w:val="00783732"/>
    <w:pPr>
      <w:keepNext/>
      <w:spacing w:line="280" w:lineRule="atLeast"/>
      <w:outlineLvl w:val="8"/>
    </w:pPr>
    <w:rPr>
      <w:b/>
      <w:bCs/>
      <w:color w:val="000000"/>
      <w:u w:val="single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spring1">
    <w:name w:val="inspring1"/>
    <w:basedOn w:val="Standaard"/>
    <w:rsid w:val="00783732"/>
    <w:pPr>
      <w:numPr>
        <w:numId w:val="1"/>
      </w:numPr>
      <w:tabs>
        <w:tab w:val="clear" w:pos="567"/>
        <w:tab w:val="clear" w:pos="1134"/>
        <w:tab w:val="clear" w:pos="1701"/>
        <w:tab w:val="clear" w:pos="2268"/>
        <w:tab w:val="clear" w:pos="2835"/>
      </w:tabs>
    </w:pPr>
  </w:style>
  <w:style w:type="paragraph" w:customStyle="1" w:styleId="inspring2">
    <w:name w:val="inspring2"/>
    <w:basedOn w:val="Standaard"/>
    <w:rsid w:val="00783732"/>
    <w:pPr>
      <w:numPr>
        <w:numId w:val="2"/>
      </w:numPr>
      <w:tabs>
        <w:tab w:val="clear" w:pos="1211"/>
      </w:tabs>
    </w:pPr>
    <w:rPr>
      <w:color w:val="333333"/>
    </w:rPr>
  </w:style>
  <w:style w:type="paragraph" w:styleId="Voettekst">
    <w:name w:val="footer"/>
    <w:basedOn w:val="Standaard"/>
    <w:semiHidden/>
    <w:rsid w:val="00783732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072"/>
      </w:tabs>
      <w:spacing w:line="240" w:lineRule="auto"/>
    </w:pPr>
    <w:rPr>
      <w:sz w:val="16"/>
    </w:rPr>
  </w:style>
  <w:style w:type="character" w:styleId="Paginanummer">
    <w:name w:val="page number"/>
    <w:basedOn w:val="Standaardalinea-lettertype"/>
    <w:semiHidden/>
    <w:rsid w:val="00783732"/>
    <w:rPr>
      <w:rFonts w:ascii="Arial" w:hAnsi="Arial"/>
      <w:sz w:val="18"/>
      <w:lang w:val="nl-NL"/>
    </w:rPr>
  </w:style>
  <w:style w:type="paragraph" w:styleId="Plattetekst">
    <w:name w:val="Body Text"/>
    <w:basedOn w:val="Standaard"/>
    <w:semiHidden/>
    <w:rsid w:val="00783732"/>
    <w:pPr>
      <w:widowControl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line="240" w:lineRule="auto"/>
      <w:jc w:val="both"/>
    </w:pPr>
    <w:rPr>
      <w:snapToGrid/>
      <w:szCs w:val="24"/>
      <w:lang w:val="nl-BE"/>
    </w:rPr>
  </w:style>
  <w:style w:type="paragraph" w:styleId="Koptekst">
    <w:name w:val="header"/>
    <w:basedOn w:val="Standaard"/>
    <w:semiHidden/>
    <w:rsid w:val="00783732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153"/>
        <w:tab w:val="right" w:pos="8306"/>
      </w:tabs>
    </w:pPr>
  </w:style>
  <w:style w:type="paragraph" w:customStyle="1" w:styleId="inspring3">
    <w:name w:val="inspring3"/>
    <w:basedOn w:val="inspring1"/>
    <w:rsid w:val="00783732"/>
    <w:pPr>
      <w:ind w:left="1702"/>
    </w:pPr>
    <w:rPr>
      <w:lang w:val="nl-BE"/>
    </w:rPr>
  </w:style>
  <w:style w:type="paragraph" w:styleId="Plattetekst2">
    <w:name w:val="Body Text 2"/>
    <w:basedOn w:val="Standaard"/>
    <w:semiHidden/>
    <w:rsid w:val="00783732"/>
    <w:pPr>
      <w:spacing w:before="120"/>
    </w:pPr>
  </w:style>
  <w:style w:type="paragraph" w:customStyle="1" w:styleId="bullet">
    <w:name w:val="bullet"/>
    <w:basedOn w:val="Kop5"/>
    <w:rsid w:val="00783732"/>
    <w:pPr>
      <w:keepNext w:val="0"/>
      <w:widowControl/>
      <w:numPr>
        <w:ilvl w:val="1"/>
        <w:numId w:val="3"/>
      </w:numPr>
      <w:tabs>
        <w:tab w:val="clear" w:pos="1134"/>
        <w:tab w:val="clear" w:pos="1701"/>
        <w:tab w:val="clear" w:pos="2268"/>
        <w:tab w:val="clear" w:pos="2835"/>
      </w:tabs>
      <w:jc w:val="left"/>
    </w:pPr>
    <w:rPr>
      <w:rFonts w:ascii="Times New Roman" w:hAnsi="Times New Roman" w:cs="Times New Roman"/>
      <w:b w:val="0"/>
      <w:iCs/>
      <w:snapToGrid/>
      <w:sz w:val="24"/>
      <w:szCs w:val="24"/>
      <w:lang w:val="nl-BE" w:eastAsia="en-US"/>
    </w:rPr>
  </w:style>
  <w:style w:type="character" w:styleId="Hyperlink">
    <w:name w:val="Hyperlink"/>
    <w:basedOn w:val="Standaardalinea-lettertype"/>
    <w:semiHidden/>
    <w:rsid w:val="00783732"/>
    <w:rPr>
      <w:color w:val="0000FF"/>
      <w:u w:val="single"/>
    </w:rPr>
  </w:style>
  <w:style w:type="paragraph" w:styleId="Titel">
    <w:name w:val="Title"/>
    <w:qFormat/>
    <w:rsid w:val="00783732"/>
    <w:pPr>
      <w:jc w:val="center"/>
      <w:outlineLvl w:val="0"/>
    </w:pPr>
    <w:rPr>
      <w:rFonts w:ascii="Arial" w:hAnsi="Arial"/>
      <w:b/>
      <w:bCs/>
      <w:sz w:val="40"/>
      <w:szCs w:val="32"/>
      <w:lang w:val="nl-NL" w:eastAsia="nl-NL"/>
    </w:rPr>
  </w:style>
  <w:style w:type="paragraph" w:styleId="Plattetekst3">
    <w:name w:val="Body Text 3"/>
    <w:basedOn w:val="Standaard"/>
    <w:semiHidden/>
    <w:rsid w:val="00783732"/>
    <w:pPr>
      <w:spacing w:line="280" w:lineRule="atLeast"/>
    </w:pPr>
    <w:rPr>
      <w:color w:val="000000"/>
      <w:lang w:val="fr-FR"/>
    </w:rPr>
  </w:style>
  <w:style w:type="character" w:styleId="GevolgdeHyperlink">
    <w:name w:val="FollowedHyperlink"/>
    <w:basedOn w:val="Standaardalinea-lettertype"/>
    <w:semiHidden/>
    <w:rsid w:val="00783732"/>
    <w:rPr>
      <w:color w:val="800080"/>
      <w:u w:val="single"/>
    </w:rPr>
  </w:style>
  <w:style w:type="character" w:styleId="Zwaar">
    <w:name w:val="Strong"/>
    <w:basedOn w:val="Standaardalinea-lettertype"/>
    <w:qFormat/>
    <w:rsid w:val="00783732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16811"/>
    <w:pPr>
      <w:widowControl/>
      <w:spacing w:line="240" w:lineRule="auto"/>
    </w:pPr>
    <w:rPr>
      <w:rFonts w:ascii="Tahoma" w:hAnsi="Tahoma" w:cs="Tahoma"/>
      <w:snapToGrid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6811"/>
    <w:rPr>
      <w:rFonts w:ascii="Tahoma" w:hAnsi="Tahoma" w:cs="Tahoma"/>
      <w:sz w:val="16"/>
      <w:szCs w:val="16"/>
      <w:lang w:val="nl-NL" w:eastAsia="nl-NL"/>
    </w:rPr>
  </w:style>
  <w:style w:type="paragraph" w:customStyle="1" w:styleId="Default">
    <w:name w:val="Default"/>
    <w:rsid w:val="00E37E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alweb">
    <w:name w:val="Normal (Web)"/>
    <w:basedOn w:val="Standaard"/>
    <w:uiPriority w:val="99"/>
    <w:semiHidden/>
    <w:unhideWhenUsed/>
    <w:rsid w:val="003076FF"/>
    <w:pPr>
      <w:widowControl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beforeAutospacing="1" w:after="100" w:afterAutospacing="1" w:line="240" w:lineRule="auto"/>
    </w:pPr>
    <w:rPr>
      <w:rFonts w:ascii="Times New Roman" w:hAnsi="Times New Roman" w:cs="Times New Roman"/>
      <w:snapToGrid/>
      <w:sz w:val="24"/>
      <w:szCs w:val="24"/>
      <w:lang w:val="nl-BE" w:eastAsia="nl-BE"/>
    </w:rPr>
  </w:style>
  <w:style w:type="character" w:customStyle="1" w:styleId="normal-red1">
    <w:name w:val="normal-red1"/>
    <w:basedOn w:val="Standaardalinea-lettertype"/>
    <w:rsid w:val="003076FF"/>
    <w:rPr>
      <w:rFonts w:ascii="Verdana" w:hAnsi="Verdana" w:hint="default"/>
      <w:color w:val="CC0000"/>
      <w:sz w:val="17"/>
      <w:szCs w:val="17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7011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70119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70119"/>
    <w:rPr>
      <w:rFonts w:ascii="Arial" w:hAnsi="Arial" w:cs="Arial"/>
      <w:snapToGrid w:val="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7011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70119"/>
    <w:rPr>
      <w:rFonts w:ascii="Arial" w:hAnsi="Arial" w:cs="Arial"/>
      <w:b/>
      <w:bCs/>
      <w:snapToGrid w:val="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ECA23-44F4-463B-8E2E-D4EB29108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977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ORGANIGRAM EN CRISISSTRUCTUUR</vt:lpstr>
    </vt:vector>
  </TitlesOfParts>
  <Company>FAVV - AFSCA</Company>
  <LinksUpToDate>false</LinksUpToDate>
  <CharactersWithSpaces>6690</CharactersWithSpaces>
  <SharedDoc>false</SharedDoc>
  <HLinks>
    <vt:vector size="12" baseType="variant">
      <vt:variant>
        <vt:i4>7340059</vt:i4>
      </vt:variant>
      <vt:variant>
        <vt:i4>3</vt:i4>
      </vt:variant>
      <vt:variant>
        <vt:i4>0</vt:i4>
      </vt:variant>
      <vt:variant>
        <vt:i4>5</vt:i4>
      </vt:variant>
      <vt:variant>
        <vt:lpwstr>http://www.var.fgov.be/pdf/demandeCERVA_Uccle.pdf</vt:lpwstr>
      </vt:variant>
      <vt:variant>
        <vt:lpwstr/>
      </vt:variant>
      <vt:variant>
        <vt:i4>8060949</vt:i4>
      </vt:variant>
      <vt:variant>
        <vt:i4>0</vt:i4>
      </vt:variant>
      <vt:variant>
        <vt:i4>0</vt:i4>
      </vt:variant>
      <vt:variant>
        <vt:i4>5</vt:i4>
      </vt:variant>
      <vt:variant>
        <vt:lpwstr>http://www.var.fgov.be/pdf/aanvraagCODA_Ukkel.pdf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ORGANIGRAM EN CRISISSTRUCTUUR</dc:title>
  <dc:creator>Philippe Houdart</dc:creator>
  <cp:lastModifiedBy>Verhaert Fien</cp:lastModifiedBy>
  <cp:revision>11</cp:revision>
  <cp:lastPrinted>2018-09-19T11:46:00Z</cp:lastPrinted>
  <dcterms:created xsi:type="dcterms:W3CDTF">2019-06-11T07:38:00Z</dcterms:created>
  <dcterms:modified xsi:type="dcterms:W3CDTF">2019-06-12T11:45:00Z</dcterms:modified>
</cp:coreProperties>
</file>